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2961E" w14:textId="77777777" w:rsidR="00FB7A4C" w:rsidRPr="00056B96" w:rsidRDefault="00FB7A4C" w:rsidP="001428B7">
      <w:pPr>
        <w:pStyle w:val="Heading"/>
        <w:jc w:val="center"/>
        <w:rPr>
          <w:rFonts w:cs="Times New Roman"/>
          <w:sz w:val="20"/>
          <w:szCs w:val="20"/>
          <w:lang w:val="lt-LT"/>
        </w:rPr>
      </w:pPr>
    </w:p>
    <w:p w14:paraId="132CB2B9" w14:textId="34AA7CDC" w:rsidR="00FB7A4C" w:rsidRPr="00056B96" w:rsidRDefault="00FB7A4C" w:rsidP="00B96853">
      <w:pPr>
        <w:ind w:left="5670"/>
        <w:jc w:val="right"/>
        <w:rPr>
          <w:color w:val="333333"/>
          <w:shd w:val="clear" w:color="auto" w:fill="FFFFFF"/>
          <w:lang w:val="en-GB"/>
        </w:rPr>
      </w:pPr>
      <w:bookmarkStart w:id="0" w:name="_Hlk129598353"/>
      <w:r w:rsidRPr="00056B96">
        <w:rPr>
          <w:color w:val="333333"/>
          <w:shd w:val="clear" w:color="auto" w:fill="FFFFFF"/>
          <w:lang w:val="en-GB"/>
        </w:rPr>
        <w:t>Annex 4</w:t>
      </w:r>
    </w:p>
    <w:p w14:paraId="516462BC" w14:textId="77777777" w:rsidR="00FB7A4C" w:rsidRPr="00056B96" w:rsidRDefault="00FB7A4C" w:rsidP="001428B7">
      <w:pPr>
        <w:pStyle w:val="Heading"/>
        <w:jc w:val="center"/>
        <w:rPr>
          <w:rFonts w:cs="Times New Roman"/>
          <w:lang w:val="en-GB"/>
        </w:rPr>
      </w:pPr>
    </w:p>
    <w:p w14:paraId="528954D4" w14:textId="7CC04675" w:rsidR="001428B7" w:rsidRPr="00056B96" w:rsidRDefault="00FB7A4C" w:rsidP="001428B7">
      <w:pPr>
        <w:pStyle w:val="Heading"/>
        <w:jc w:val="center"/>
        <w:rPr>
          <w:rFonts w:cs="Times New Roman"/>
          <w:lang w:val="lt-LT"/>
        </w:rPr>
      </w:pPr>
      <w:r w:rsidRPr="00056B96">
        <w:rPr>
          <w:rFonts w:cs="Times New Roman"/>
          <w:lang w:val="lt-LT"/>
        </w:rPr>
        <w:t xml:space="preserve">QUALIFICATIONS REQUIREMENTS FOR SUPPLIERS </w:t>
      </w:r>
    </w:p>
    <w:p w14:paraId="79881FA1" w14:textId="77777777" w:rsidR="001428B7" w:rsidRPr="00056B96" w:rsidRDefault="001428B7" w:rsidP="001428B7">
      <w:pPr>
        <w:pStyle w:val="Body2"/>
        <w:rPr>
          <w:rFonts w:cs="Times New Roman"/>
          <w:sz w:val="20"/>
          <w:szCs w:val="20"/>
          <w:lang w:val="lt-LT"/>
        </w:rPr>
      </w:pPr>
    </w:p>
    <w:tbl>
      <w:tblPr>
        <w:tblStyle w:val="Lentelstinklelis"/>
        <w:tblW w:w="15389" w:type="dxa"/>
        <w:tblInd w:w="-595" w:type="dxa"/>
        <w:tblLayout w:type="fixed"/>
        <w:tblLook w:val="04A0" w:firstRow="1" w:lastRow="0" w:firstColumn="1" w:lastColumn="0" w:noHBand="0" w:noVBand="1"/>
      </w:tblPr>
      <w:tblGrid>
        <w:gridCol w:w="680"/>
        <w:gridCol w:w="4140"/>
        <w:gridCol w:w="6210"/>
        <w:gridCol w:w="4359"/>
      </w:tblGrid>
      <w:tr w:rsidR="003577EE" w:rsidRPr="00CF490B" w14:paraId="23A85791" w14:textId="77777777" w:rsidTr="00056B96">
        <w:tc>
          <w:tcPr>
            <w:tcW w:w="680" w:type="dxa"/>
          </w:tcPr>
          <w:bookmarkEnd w:id="0"/>
          <w:p w14:paraId="763262CA" w14:textId="0DCE9767" w:rsidR="003577EE" w:rsidRPr="00CF490B" w:rsidRDefault="00AF73A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lang w:val="en-GB"/>
              </w:rPr>
            </w:pPr>
            <w:r w:rsidRPr="00CF490B">
              <w:rPr>
                <w:rFonts w:ascii="Times New Roman" w:eastAsia="Times New Roman" w:hAnsi="Times New Roman" w:cs="Times New Roman"/>
                <w:b/>
                <w:bCs/>
                <w:color w:val="404040" w:themeColor="text1" w:themeTint="BF"/>
                <w:lang w:val="en-GB"/>
              </w:rPr>
              <w:t>Item No</w:t>
            </w:r>
          </w:p>
        </w:tc>
        <w:tc>
          <w:tcPr>
            <w:tcW w:w="4140" w:type="dxa"/>
            <w:vAlign w:val="center"/>
          </w:tcPr>
          <w:p w14:paraId="0604D09A" w14:textId="586E46EC" w:rsidR="003577EE" w:rsidRPr="00CF490B" w:rsidRDefault="00AF73A7" w:rsidP="00FC6E87">
            <w:pPr>
              <w:jc w:val="center"/>
              <w:rPr>
                <w:b/>
                <w:bCs/>
                <w:color w:val="404040" w:themeColor="text1" w:themeTint="BF"/>
                <w:sz w:val="20"/>
                <w:szCs w:val="20"/>
                <w:lang w:val="en-GB"/>
              </w:rPr>
            </w:pPr>
            <w:r w:rsidRPr="00CF490B">
              <w:rPr>
                <w:b/>
                <w:bCs/>
                <w:color w:val="404040" w:themeColor="text1" w:themeTint="BF"/>
                <w:sz w:val="20"/>
                <w:szCs w:val="20"/>
                <w:lang w:val="en-GB"/>
              </w:rPr>
              <w:t>Requirement</w:t>
            </w:r>
          </w:p>
        </w:tc>
        <w:tc>
          <w:tcPr>
            <w:tcW w:w="6210" w:type="dxa"/>
            <w:vAlign w:val="center"/>
          </w:tcPr>
          <w:p w14:paraId="01C3691C" w14:textId="3D6AE9FB" w:rsidR="003577EE" w:rsidRPr="00CF490B" w:rsidRDefault="00AF73A7" w:rsidP="00FC6E87">
            <w:pPr>
              <w:jc w:val="center"/>
              <w:rPr>
                <w:rFonts w:eastAsia="Times New Roman"/>
                <w:b/>
                <w:bCs/>
                <w:color w:val="404040" w:themeColor="text1" w:themeTint="BF"/>
                <w:sz w:val="20"/>
                <w:szCs w:val="20"/>
                <w:lang w:val="en-GB"/>
              </w:rPr>
            </w:pPr>
            <w:r w:rsidRPr="00CF490B">
              <w:rPr>
                <w:b/>
                <w:bCs/>
                <w:color w:val="404040" w:themeColor="text1" w:themeTint="BF"/>
                <w:sz w:val="20"/>
                <w:szCs w:val="20"/>
                <w:lang w:val="en-GB"/>
              </w:rPr>
              <w:t>Documents proving compliance</w:t>
            </w:r>
          </w:p>
        </w:tc>
        <w:tc>
          <w:tcPr>
            <w:tcW w:w="4359" w:type="dxa"/>
            <w:vAlign w:val="center"/>
          </w:tcPr>
          <w:p w14:paraId="40A3FD63" w14:textId="3A078D32" w:rsidR="003577EE" w:rsidRPr="00CF490B" w:rsidRDefault="001F1099" w:rsidP="00A9443F">
            <w:pPr>
              <w:jc w:val="center"/>
              <w:rPr>
                <w:b/>
                <w:bCs/>
                <w:color w:val="404040" w:themeColor="text1" w:themeTint="BF"/>
                <w:sz w:val="20"/>
                <w:szCs w:val="20"/>
                <w:lang w:val="en-GB"/>
              </w:rPr>
            </w:pPr>
            <w:r w:rsidRPr="00CF490B">
              <w:rPr>
                <w:b/>
                <w:bCs/>
                <w:color w:val="404040" w:themeColor="text1" w:themeTint="BF"/>
                <w:sz w:val="20"/>
                <w:szCs w:val="20"/>
                <w:lang w:val="en-GB"/>
              </w:rPr>
              <w:t xml:space="preserve">Entities that must fulfil the requirement </w:t>
            </w:r>
          </w:p>
        </w:tc>
      </w:tr>
      <w:tr w:rsidR="003577EE" w:rsidRPr="00CF490B" w14:paraId="55F55701" w14:textId="77777777" w:rsidTr="00056B96">
        <w:tc>
          <w:tcPr>
            <w:tcW w:w="680" w:type="dxa"/>
          </w:tcPr>
          <w:p w14:paraId="0C342554" w14:textId="77777777" w:rsidR="003577EE" w:rsidRPr="00CF490B" w:rsidRDefault="003577EE">
            <w:pPr>
              <w:rPr>
                <w:sz w:val="20"/>
                <w:szCs w:val="20"/>
                <w:lang w:val="en-GB"/>
              </w:rPr>
            </w:pPr>
            <w:r w:rsidRPr="00CF490B">
              <w:rPr>
                <w:sz w:val="20"/>
                <w:szCs w:val="20"/>
                <w:lang w:val="en-GB"/>
              </w:rPr>
              <w:t>1.</w:t>
            </w:r>
          </w:p>
        </w:tc>
        <w:tc>
          <w:tcPr>
            <w:tcW w:w="4140" w:type="dxa"/>
          </w:tcPr>
          <w:p w14:paraId="4788BE37" w14:textId="5EA69446" w:rsidR="003577EE" w:rsidRPr="00CF490B" w:rsidRDefault="00AF73A7">
            <w:pPr>
              <w:rPr>
                <w:sz w:val="20"/>
                <w:szCs w:val="20"/>
                <w:lang w:val="en-GB"/>
              </w:rPr>
            </w:pPr>
            <w:r w:rsidRPr="00CF490B">
              <w:rPr>
                <w:sz w:val="20"/>
                <w:szCs w:val="20"/>
                <w:lang w:val="en-GB"/>
              </w:rPr>
              <w:t>During the past 3 years (by the end of the term for the submission of tenders), or during the period since the date of registration of the Supplier (if the Supplier has been operating for a period shorter than 3 years), the Supplier has implements, by his own effort, an acceleration programme/programmes</w:t>
            </w:r>
            <w:r w:rsidR="00395284" w:rsidRPr="00CF490B">
              <w:rPr>
                <w:sz w:val="20"/>
                <w:szCs w:val="20"/>
                <w:vertAlign w:val="superscript"/>
                <w:lang w:val="en-GB"/>
              </w:rPr>
              <w:t>1</w:t>
            </w:r>
            <w:r w:rsidR="00395284" w:rsidRPr="00CF490B">
              <w:rPr>
                <w:sz w:val="20"/>
                <w:szCs w:val="20"/>
                <w:lang w:val="en-GB"/>
              </w:rPr>
              <w:t xml:space="preserve"> (</w:t>
            </w:r>
            <w:r w:rsidRPr="00CF490B">
              <w:rPr>
                <w:sz w:val="20"/>
                <w:szCs w:val="20"/>
                <w:lang w:val="en-GB"/>
              </w:rPr>
              <w:t>under one or more contracts the total value of which is at least EUR 5,000,000 (five million</w:t>
            </w:r>
            <w:r w:rsidR="00612817">
              <w:rPr>
                <w:sz w:val="20"/>
                <w:szCs w:val="20"/>
                <w:lang w:val="en-GB"/>
              </w:rPr>
              <w:t xml:space="preserve"> euros</w:t>
            </w:r>
            <w:r w:rsidRPr="00CF490B">
              <w:rPr>
                <w:sz w:val="20"/>
                <w:szCs w:val="20"/>
                <w:lang w:val="en-GB"/>
              </w:rPr>
              <w:t>) exclusive of VAT</w:t>
            </w:r>
            <w:r w:rsidR="003E37E2" w:rsidRPr="00CF490B">
              <w:rPr>
                <w:sz w:val="20"/>
                <w:szCs w:val="20"/>
                <w:lang w:val="en-GB"/>
              </w:rPr>
              <w:t>)</w:t>
            </w:r>
            <w:r w:rsidR="003577EE" w:rsidRPr="00CF490B">
              <w:rPr>
                <w:sz w:val="20"/>
                <w:szCs w:val="20"/>
                <w:lang w:val="en-GB"/>
              </w:rPr>
              <w:t>.</w:t>
            </w:r>
            <w:r w:rsidR="003577EE" w:rsidRPr="00CF490B">
              <w:rPr>
                <w:sz w:val="20"/>
                <w:szCs w:val="20"/>
                <w:lang w:val="en-GB"/>
              </w:rPr>
              <w:br/>
            </w:r>
          </w:p>
        </w:tc>
        <w:tc>
          <w:tcPr>
            <w:tcW w:w="6210" w:type="dxa"/>
          </w:tcPr>
          <w:p w14:paraId="21F54229" w14:textId="77777777" w:rsidR="00AF73A7" w:rsidRPr="00CF490B" w:rsidRDefault="003577EE">
            <w:pPr>
              <w:rPr>
                <w:sz w:val="20"/>
                <w:szCs w:val="20"/>
                <w:lang w:val="en-GB"/>
              </w:rPr>
            </w:pPr>
            <w:r w:rsidRPr="00CF490B">
              <w:rPr>
                <w:sz w:val="20"/>
                <w:szCs w:val="20"/>
                <w:lang w:val="en-GB"/>
              </w:rPr>
              <w:t>•</w:t>
            </w:r>
            <w:r w:rsidRPr="00CF490B">
              <w:rPr>
                <w:sz w:val="20"/>
                <w:szCs w:val="20"/>
                <w:lang w:val="en-GB"/>
              </w:rPr>
              <w:tab/>
            </w:r>
            <w:r w:rsidR="00AF73A7" w:rsidRPr="00CF490B">
              <w:rPr>
                <w:sz w:val="20"/>
                <w:szCs w:val="20"/>
                <w:bdr w:val="none" w:sz="0" w:space="0" w:color="auto" w:frame="1"/>
                <w:lang w:val="en-GB"/>
              </w:rPr>
              <w:t>List of services provided including a brief description of the acceleration programme/programmes implemented or still underway</w:t>
            </w:r>
            <w:r w:rsidRPr="00CF490B">
              <w:rPr>
                <w:sz w:val="20"/>
                <w:szCs w:val="20"/>
                <w:vertAlign w:val="superscript"/>
                <w:lang w:val="en-GB"/>
              </w:rPr>
              <w:t>1</w:t>
            </w:r>
            <w:r w:rsidR="007C5B68" w:rsidRPr="00CF490B">
              <w:rPr>
                <w:sz w:val="20"/>
                <w:szCs w:val="20"/>
                <w:lang w:val="en-GB"/>
              </w:rPr>
              <w:t>/</w:t>
            </w:r>
            <w:r w:rsidRPr="00CF490B">
              <w:rPr>
                <w:sz w:val="20"/>
                <w:szCs w:val="20"/>
                <w:lang w:val="en-GB"/>
              </w:rPr>
              <w:t xml:space="preserve"> </w:t>
            </w:r>
            <w:r w:rsidR="00AF73A7" w:rsidRPr="00CF490B">
              <w:rPr>
                <w:sz w:val="20"/>
                <w:szCs w:val="20"/>
                <w:bdr w:val="none" w:sz="0" w:space="0" w:color="auto" w:frame="1"/>
                <w:lang w:val="en-GB"/>
              </w:rPr>
              <w:t>specifying the value of the contract, the date of completion of the contract (part thereof), and the customer and its contact details irrespective of whether the customer is a contracting authority or not</w:t>
            </w:r>
            <w:r w:rsidRPr="00CF490B">
              <w:rPr>
                <w:sz w:val="20"/>
                <w:szCs w:val="20"/>
                <w:lang w:val="en-GB"/>
              </w:rPr>
              <w:t>;</w:t>
            </w:r>
          </w:p>
          <w:p w14:paraId="0232F688" w14:textId="77777777" w:rsidR="00056B96" w:rsidRPr="00CF490B" w:rsidRDefault="003577EE">
            <w:pPr>
              <w:rPr>
                <w:sz w:val="20"/>
                <w:szCs w:val="20"/>
                <w:lang w:val="en-GB"/>
              </w:rPr>
            </w:pPr>
            <w:r w:rsidRPr="00CF490B">
              <w:rPr>
                <w:sz w:val="20"/>
                <w:szCs w:val="20"/>
                <w:lang w:val="en-GB"/>
              </w:rPr>
              <w:t>•</w:t>
            </w:r>
            <w:r w:rsidRPr="00CF490B">
              <w:rPr>
                <w:sz w:val="20"/>
                <w:szCs w:val="20"/>
                <w:lang w:val="en-GB"/>
              </w:rPr>
              <w:tab/>
            </w:r>
            <w:r w:rsidR="00AF73A7" w:rsidRPr="00CF490B">
              <w:rPr>
                <w:sz w:val="20"/>
                <w:szCs w:val="20"/>
                <w:bdr w:val="none" w:sz="0" w:space="0" w:color="auto" w:frame="1"/>
                <w:lang w:val="en-GB"/>
              </w:rPr>
              <w:t>As a proof of proper completion of the contract (part thereof), the Supplier must provide copies of a certificate issued by the customer, or another equivalent document</w:t>
            </w:r>
            <w:r w:rsidRPr="00CF490B">
              <w:rPr>
                <w:sz w:val="20"/>
                <w:szCs w:val="20"/>
                <w:lang w:val="en-GB"/>
              </w:rPr>
              <w:t>.</w:t>
            </w:r>
          </w:p>
          <w:p w14:paraId="63F60E62" w14:textId="75D4DD19" w:rsidR="003577EE" w:rsidRPr="00CF490B" w:rsidRDefault="003577EE">
            <w:pPr>
              <w:rPr>
                <w:sz w:val="20"/>
                <w:szCs w:val="20"/>
                <w:lang w:val="en-GB"/>
              </w:rPr>
            </w:pPr>
            <w:r w:rsidRPr="00CF490B">
              <w:rPr>
                <w:sz w:val="20"/>
                <w:szCs w:val="20"/>
                <w:lang w:val="en-GB"/>
              </w:rPr>
              <w:br/>
            </w:r>
          </w:p>
        </w:tc>
        <w:tc>
          <w:tcPr>
            <w:tcW w:w="4359" w:type="dxa"/>
          </w:tcPr>
          <w:p w14:paraId="7192AD99" w14:textId="68D23C7C" w:rsidR="003577EE" w:rsidRPr="00CF490B" w:rsidRDefault="003E37E2">
            <w:pPr>
              <w:rPr>
                <w:sz w:val="20"/>
                <w:szCs w:val="20"/>
                <w:lang w:val="en-GB"/>
              </w:rPr>
            </w:pPr>
            <w:r w:rsidRPr="00CF490B">
              <w:rPr>
                <w:sz w:val="20"/>
                <w:szCs w:val="20"/>
                <w:lang w:val="en-GB"/>
              </w:rPr>
              <w:t xml:space="preserve">The supplier or at least one member of the group of suppliers (if the tender is submitted by a group), or the economic operator whose capacities the supplier is relying on, </w:t>
            </w:r>
            <w:r w:rsidR="00056B96" w:rsidRPr="00CF490B">
              <w:rPr>
                <w:sz w:val="20"/>
                <w:szCs w:val="20"/>
                <w:lang w:val="en-GB"/>
              </w:rPr>
              <w:t>depending on</w:t>
            </w:r>
            <w:r w:rsidRPr="00CF490B">
              <w:rPr>
                <w:sz w:val="20"/>
                <w:szCs w:val="20"/>
                <w:lang w:val="en-GB"/>
              </w:rPr>
              <w:t xml:space="preserve"> the obligations assumed by them in the performance of the Contract. The supplier may rely on capacities of other economic operators only if the latter themselves will implement the part of the Contract for which their capacities are required. The Supplier is not prohibited from relying on a contract performed jointly with other economic operators, however, in such a case the scope/value of the services provided by the supplier and not the entire value of the contract will be taken into account.</w:t>
            </w:r>
          </w:p>
        </w:tc>
      </w:tr>
      <w:tr w:rsidR="003577EE" w:rsidRPr="00CF490B" w14:paraId="26BBCA70" w14:textId="77777777" w:rsidTr="00056B96">
        <w:tc>
          <w:tcPr>
            <w:tcW w:w="680" w:type="dxa"/>
          </w:tcPr>
          <w:p w14:paraId="4017B700" w14:textId="77777777" w:rsidR="003577EE" w:rsidRPr="00CF490B" w:rsidRDefault="003577EE">
            <w:pPr>
              <w:rPr>
                <w:sz w:val="20"/>
                <w:szCs w:val="20"/>
                <w:lang w:val="en-GB"/>
              </w:rPr>
            </w:pPr>
            <w:r w:rsidRPr="00CF490B">
              <w:rPr>
                <w:sz w:val="20"/>
                <w:szCs w:val="20"/>
                <w:lang w:val="en-GB"/>
              </w:rPr>
              <w:t>2.</w:t>
            </w:r>
          </w:p>
        </w:tc>
        <w:tc>
          <w:tcPr>
            <w:tcW w:w="4140" w:type="dxa"/>
          </w:tcPr>
          <w:p w14:paraId="68D45B95" w14:textId="721CADB2" w:rsidR="003577EE" w:rsidRPr="00CF490B" w:rsidRDefault="00AF73A7">
            <w:pPr>
              <w:rPr>
                <w:sz w:val="20"/>
                <w:szCs w:val="20"/>
                <w:lang w:val="en-GB"/>
              </w:rPr>
            </w:pPr>
            <w:r w:rsidRPr="00CF490B">
              <w:rPr>
                <w:rStyle w:val="ui-provider"/>
                <w:sz w:val="20"/>
                <w:szCs w:val="20"/>
                <w:lang w:val="en-GB"/>
              </w:rPr>
              <w:t xml:space="preserve">The </w:t>
            </w:r>
            <w:proofErr w:type="gramStart"/>
            <w:r w:rsidRPr="00CF490B">
              <w:rPr>
                <w:rStyle w:val="ui-provider"/>
                <w:sz w:val="20"/>
                <w:szCs w:val="20"/>
                <w:lang w:val="en-GB"/>
              </w:rPr>
              <w:t>Supplier‘</w:t>
            </w:r>
            <w:proofErr w:type="gramEnd"/>
            <w:r w:rsidRPr="00CF490B">
              <w:rPr>
                <w:rStyle w:val="ui-provider"/>
                <w:sz w:val="20"/>
                <w:szCs w:val="20"/>
                <w:lang w:val="en-GB"/>
              </w:rPr>
              <w:t xml:space="preserve">s average annual income from acceleration </w:t>
            </w:r>
            <w:r w:rsidR="00F9184A" w:rsidRPr="00F9184A">
              <w:rPr>
                <w:rStyle w:val="ui-provider"/>
                <w:sz w:val="20"/>
                <w:szCs w:val="20"/>
                <w:highlight w:val="darkGray"/>
                <w:lang w:val="en-GB"/>
              </w:rPr>
              <w:t>programme (programmes)</w:t>
            </w:r>
            <w:r w:rsidR="00F9184A">
              <w:rPr>
                <w:rStyle w:val="ui-provider"/>
                <w:sz w:val="20"/>
                <w:szCs w:val="20"/>
                <w:lang w:val="en-GB"/>
              </w:rPr>
              <w:t xml:space="preserve"> </w:t>
            </w:r>
            <w:r w:rsidRPr="00CF490B">
              <w:rPr>
                <w:rStyle w:val="ui-provider"/>
                <w:sz w:val="20"/>
                <w:szCs w:val="20"/>
                <w:lang w:val="en-GB"/>
              </w:rPr>
              <w:t>during the past 3 fiscal years; if the Supplier was registered or started operations later – from the registration/operations launching date, must be at least EUR 6</w:t>
            </w:r>
            <w:r w:rsidR="00612817">
              <w:rPr>
                <w:rStyle w:val="ui-provider"/>
                <w:sz w:val="20"/>
                <w:szCs w:val="20"/>
                <w:lang w:val="en-GB"/>
              </w:rPr>
              <w:t>,000,000 (six</w:t>
            </w:r>
            <w:r w:rsidRPr="00CF490B">
              <w:rPr>
                <w:rStyle w:val="ui-provider"/>
                <w:sz w:val="20"/>
                <w:szCs w:val="20"/>
                <w:lang w:val="en-GB"/>
              </w:rPr>
              <w:t xml:space="preserve"> million </w:t>
            </w:r>
            <w:r w:rsidR="00612817">
              <w:rPr>
                <w:rStyle w:val="ui-provider"/>
                <w:sz w:val="20"/>
                <w:szCs w:val="20"/>
                <w:lang w:val="en-GB"/>
              </w:rPr>
              <w:t xml:space="preserve">euros) </w:t>
            </w:r>
            <w:r w:rsidRPr="00CF490B">
              <w:rPr>
                <w:rStyle w:val="ui-provider"/>
                <w:sz w:val="20"/>
                <w:szCs w:val="20"/>
                <w:lang w:val="en-GB"/>
              </w:rPr>
              <w:t>excl. of VAT.</w:t>
            </w:r>
          </w:p>
        </w:tc>
        <w:tc>
          <w:tcPr>
            <w:tcW w:w="6210" w:type="dxa"/>
          </w:tcPr>
          <w:p w14:paraId="35CA4224" w14:textId="7EC84D02" w:rsidR="003577EE" w:rsidRPr="00CF490B" w:rsidRDefault="00AF73A7">
            <w:pPr>
              <w:rPr>
                <w:sz w:val="20"/>
                <w:szCs w:val="20"/>
                <w:lang w:val="en-GB"/>
              </w:rPr>
            </w:pPr>
            <w:r w:rsidRPr="00CF490B">
              <w:rPr>
                <w:sz w:val="20"/>
                <w:szCs w:val="20"/>
                <w:lang w:val="en-GB"/>
              </w:rPr>
              <w:t>A declaration of the annual income from the activity specified in the qualifications requirement</w:t>
            </w:r>
            <w:r w:rsidR="009134C0" w:rsidRPr="00CF490B">
              <w:rPr>
                <w:sz w:val="20"/>
                <w:szCs w:val="20"/>
                <w:lang w:val="en-GB"/>
              </w:rPr>
              <w:t xml:space="preserve"> for the relevant period, signed by the economic operator‘s CEO and chief accountant/accountant or another person legally entitled to keep accounts, or relevant </w:t>
            </w:r>
            <w:r w:rsidR="00CF490B" w:rsidRPr="00CF490B">
              <w:rPr>
                <w:sz w:val="20"/>
                <w:szCs w:val="20"/>
                <w:lang w:val="en-GB"/>
              </w:rPr>
              <w:t>certificates</w:t>
            </w:r>
            <w:r w:rsidR="009134C0" w:rsidRPr="00CF490B">
              <w:rPr>
                <w:sz w:val="20"/>
                <w:szCs w:val="20"/>
                <w:lang w:val="en-GB"/>
              </w:rPr>
              <w:t xml:space="preserve"> issued by a bank.</w:t>
            </w:r>
          </w:p>
        </w:tc>
        <w:tc>
          <w:tcPr>
            <w:tcW w:w="4359" w:type="dxa"/>
          </w:tcPr>
          <w:p w14:paraId="2B581ED8" w14:textId="415271C7" w:rsidR="003E37E2" w:rsidRPr="00CF490B" w:rsidRDefault="003E37E2">
            <w:pPr>
              <w:rPr>
                <w:sz w:val="20"/>
                <w:szCs w:val="20"/>
                <w:lang w:val="en-GB"/>
              </w:rPr>
            </w:pPr>
            <w:r w:rsidRPr="00CF490B">
              <w:rPr>
                <w:sz w:val="20"/>
                <w:szCs w:val="20"/>
                <w:lang w:val="en-GB"/>
              </w:rPr>
              <w:t xml:space="preserve">The supplier, all members of the group of suppliers (if the tender is submitted by a group; the members‘ capacities will be summed up), and other economic operators whose capacities the supplier is relying on, jointly. The supplier and the economic operators whose capacities the supplier is relying on in order to prove compliance with this requirement must assume joint and several </w:t>
            </w:r>
            <w:r w:rsidR="00CF490B" w:rsidRPr="00CF490B">
              <w:rPr>
                <w:sz w:val="20"/>
                <w:szCs w:val="20"/>
                <w:lang w:val="en-GB"/>
              </w:rPr>
              <w:t>liability</w:t>
            </w:r>
            <w:r w:rsidRPr="00CF490B">
              <w:rPr>
                <w:sz w:val="20"/>
                <w:szCs w:val="20"/>
                <w:lang w:val="en-GB"/>
              </w:rPr>
              <w:t xml:space="preserve"> for the performance of the Contract (a document (agreement etc.) evidencing that they will assume joint and several liability in the event of award of the Contract shall be submitted). </w:t>
            </w:r>
          </w:p>
        </w:tc>
      </w:tr>
      <w:tr w:rsidR="003577EE" w:rsidRPr="00CF490B" w14:paraId="095DB97C" w14:textId="77777777" w:rsidTr="00056B96">
        <w:tc>
          <w:tcPr>
            <w:tcW w:w="680" w:type="dxa"/>
          </w:tcPr>
          <w:p w14:paraId="0D51E9B5" w14:textId="77777777" w:rsidR="003577EE" w:rsidRPr="00CF490B" w:rsidRDefault="003577EE">
            <w:pPr>
              <w:rPr>
                <w:sz w:val="20"/>
                <w:szCs w:val="20"/>
                <w:lang w:val="en-GB"/>
              </w:rPr>
            </w:pPr>
            <w:r w:rsidRPr="00CF490B">
              <w:rPr>
                <w:sz w:val="20"/>
                <w:szCs w:val="20"/>
                <w:lang w:val="en-GB"/>
              </w:rPr>
              <w:t>3.</w:t>
            </w:r>
          </w:p>
        </w:tc>
        <w:tc>
          <w:tcPr>
            <w:tcW w:w="4140" w:type="dxa"/>
          </w:tcPr>
          <w:p w14:paraId="1A7F6F04" w14:textId="214E69E2" w:rsidR="003577EE" w:rsidRPr="00CF490B" w:rsidRDefault="009134C0">
            <w:pPr>
              <w:rPr>
                <w:sz w:val="20"/>
                <w:szCs w:val="20"/>
                <w:lang w:val="en-GB"/>
              </w:rPr>
            </w:pPr>
            <w:r w:rsidRPr="00CF490B">
              <w:rPr>
                <w:rStyle w:val="ui-provider"/>
                <w:sz w:val="20"/>
                <w:szCs w:val="20"/>
                <w:lang w:val="en-GB"/>
              </w:rPr>
              <w:t>The acceleration programme/ programmes</w:t>
            </w:r>
            <w:r w:rsidRPr="00CF490B">
              <w:rPr>
                <w:sz w:val="20"/>
                <w:szCs w:val="20"/>
                <w:lang w:val="en-GB"/>
              </w:rPr>
              <w:t xml:space="preserve"> </w:t>
            </w:r>
            <w:r w:rsidR="003577EE" w:rsidRPr="00CF490B">
              <w:rPr>
                <w:sz w:val="20"/>
                <w:szCs w:val="20"/>
                <w:lang w:val="en-GB"/>
              </w:rPr>
              <w:t>programoje</w:t>
            </w:r>
            <w:r w:rsidR="003577EE" w:rsidRPr="00CF490B">
              <w:rPr>
                <w:sz w:val="20"/>
                <w:szCs w:val="20"/>
                <w:vertAlign w:val="superscript"/>
                <w:lang w:val="en-GB"/>
              </w:rPr>
              <w:t>1</w:t>
            </w:r>
            <w:r w:rsidR="003577EE" w:rsidRPr="00CF490B">
              <w:rPr>
                <w:sz w:val="20"/>
                <w:szCs w:val="20"/>
                <w:lang w:val="en-GB"/>
              </w:rPr>
              <w:t xml:space="preserve"> </w:t>
            </w:r>
            <w:r w:rsidRPr="00CF490B">
              <w:rPr>
                <w:rStyle w:val="ui-provider"/>
                <w:sz w:val="20"/>
                <w:szCs w:val="20"/>
                <w:lang w:val="en-GB"/>
              </w:rPr>
              <w:t xml:space="preserve">implemented by the Supplier during the past 3 (three) years involved at least 50 start-ups from various countries (not only from the country of the Supplier‘s registration) including at least 30 start-ups each of which, after </w:t>
            </w:r>
            <w:r w:rsidRPr="00CF490B">
              <w:rPr>
                <w:rStyle w:val="ui-provider"/>
                <w:sz w:val="20"/>
                <w:szCs w:val="20"/>
                <w:lang w:val="en-GB"/>
              </w:rPr>
              <w:lastRenderedPageBreak/>
              <w:t xml:space="preserve">participation in the Supplier‘s acceleration programme, attracted investments of at least EUR 20,000 </w:t>
            </w:r>
            <w:r w:rsidR="00612817">
              <w:rPr>
                <w:rStyle w:val="ui-provider"/>
                <w:sz w:val="20"/>
                <w:szCs w:val="20"/>
                <w:lang w:val="en-GB"/>
              </w:rPr>
              <w:t xml:space="preserve">(twenty thousand euros) </w:t>
            </w:r>
            <w:r w:rsidRPr="00CF490B">
              <w:rPr>
                <w:rStyle w:val="ui-provider"/>
                <w:sz w:val="20"/>
                <w:szCs w:val="20"/>
                <w:lang w:val="en-GB"/>
              </w:rPr>
              <w:t>from international investors</w:t>
            </w:r>
            <w:r w:rsidR="003577EE" w:rsidRPr="00CF490B">
              <w:rPr>
                <w:sz w:val="20"/>
                <w:szCs w:val="20"/>
                <w:lang w:val="en-GB"/>
              </w:rPr>
              <w:t>.</w:t>
            </w:r>
          </w:p>
        </w:tc>
        <w:tc>
          <w:tcPr>
            <w:tcW w:w="6210" w:type="dxa"/>
          </w:tcPr>
          <w:p w14:paraId="65934FA1" w14:textId="77777777" w:rsidR="00056B96" w:rsidRPr="00CF490B" w:rsidRDefault="009134C0" w:rsidP="00056B96">
            <w:pPr>
              <w:pStyle w:val="Sraopastraipa"/>
              <w:numPr>
                <w:ilvl w:val="0"/>
                <w:numId w:val="3"/>
              </w:numPr>
              <w:rPr>
                <w:rFonts w:ascii="Times New Roman" w:hAnsi="Times New Roman"/>
                <w:lang w:val="en-GB" w:eastAsia="en-US"/>
              </w:rPr>
            </w:pPr>
            <w:r w:rsidRPr="00CF490B">
              <w:rPr>
                <w:rFonts w:ascii="Times New Roman" w:hAnsi="Times New Roman"/>
                <w:lang w:val="en-GB"/>
              </w:rPr>
              <w:lastRenderedPageBreak/>
              <w:t xml:space="preserve">List of the start-ups that took part in the Supplier‘s </w:t>
            </w:r>
            <w:r w:rsidRPr="00CF490B">
              <w:rPr>
                <w:rStyle w:val="ui-provider"/>
                <w:rFonts w:ascii="Times New Roman" w:hAnsi="Times New Roman"/>
                <w:lang w:val="en-GB"/>
              </w:rPr>
              <w:t xml:space="preserve">acceleration </w:t>
            </w:r>
            <w:r w:rsidR="003577EE" w:rsidRPr="00CF490B">
              <w:rPr>
                <w:rFonts w:ascii="Times New Roman" w:hAnsi="Times New Roman"/>
                <w:lang w:val="en-GB"/>
              </w:rPr>
              <w:t>program</w:t>
            </w:r>
            <w:r w:rsidRPr="00CF490B">
              <w:rPr>
                <w:rFonts w:ascii="Times New Roman" w:hAnsi="Times New Roman"/>
                <w:lang w:val="en-GB"/>
              </w:rPr>
              <w:t>me/programmes</w:t>
            </w:r>
            <w:r w:rsidR="003577EE" w:rsidRPr="00CF490B">
              <w:rPr>
                <w:rFonts w:ascii="Times New Roman" w:hAnsi="Times New Roman"/>
                <w:vertAlign w:val="superscript"/>
                <w:lang w:val="en-GB"/>
              </w:rPr>
              <w:t>1</w:t>
            </w:r>
            <w:r w:rsidR="003577EE" w:rsidRPr="00CF490B">
              <w:rPr>
                <w:rFonts w:ascii="Times New Roman" w:hAnsi="Times New Roman"/>
                <w:lang w:val="en-GB"/>
              </w:rPr>
              <w:t xml:space="preserve"> </w:t>
            </w:r>
            <w:r w:rsidRPr="00CF490B">
              <w:rPr>
                <w:rFonts w:ascii="Times New Roman" w:hAnsi="Times New Roman"/>
                <w:lang w:val="en-GB"/>
              </w:rPr>
              <w:t>specifying the name and the country of registration of each participant</w:t>
            </w:r>
            <w:r w:rsidR="003577EE" w:rsidRPr="00CF490B">
              <w:rPr>
                <w:rFonts w:ascii="Times New Roman" w:hAnsi="Times New Roman"/>
                <w:lang w:val="en-GB"/>
              </w:rPr>
              <w:t>;</w:t>
            </w:r>
          </w:p>
          <w:p w14:paraId="4027B779" w14:textId="3222368B" w:rsidR="00946274" w:rsidRPr="00CF490B" w:rsidRDefault="009134C0" w:rsidP="00056B96">
            <w:pPr>
              <w:pStyle w:val="Sraopastraipa"/>
              <w:numPr>
                <w:ilvl w:val="0"/>
                <w:numId w:val="3"/>
              </w:numPr>
              <w:rPr>
                <w:rFonts w:ascii="Times New Roman" w:hAnsi="Times New Roman"/>
                <w:lang w:val="en-GB" w:eastAsia="en-US"/>
              </w:rPr>
            </w:pPr>
            <w:r w:rsidRPr="00CF490B">
              <w:rPr>
                <w:rFonts w:ascii="Times New Roman" w:hAnsi="Times New Roman"/>
                <w:lang w:val="en-GB"/>
              </w:rPr>
              <w:t xml:space="preserve">List of the start-ups that took part in the programme and attracted investments, specifying the name of the start-up, the investor and </w:t>
            </w:r>
            <w:r w:rsidRPr="00CF490B">
              <w:rPr>
                <w:rFonts w:ascii="Times New Roman" w:hAnsi="Times New Roman"/>
                <w:lang w:val="en-GB"/>
              </w:rPr>
              <w:lastRenderedPageBreak/>
              <w:t xml:space="preserve">the size of the investment, and evidence proving the investment </w:t>
            </w:r>
            <w:r w:rsidR="00946274" w:rsidRPr="00CF490B">
              <w:rPr>
                <w:rFonts w:ascii="Times New Roman" w:hAnsi="Times New Roman"/>
                <w:lang w:val="en-GB"/>
              </w:rPr>
              <w:t>(</w:t>
            </w:r>
            <w:r w:rsidRPr="00CF490B">
              <w:rPr>
                <w:rFonts w:ascii="Times New Roman" w:hAnsi="Times New Roman"/>
                <w:lang w:val="en-GB"/>
              </w:rPr>
              <w:t xml:space="preserve">e.g. agreements, the investor‘s written confirmation of the investment, publishing information on the investment on platforms such as </w:t>
            </w:r>
            <w:r w:rsidR="00946274" w:rsidRPr="00CF490B">
              <w:rPr>
                <w:rFonts w:ascii="Times New Roman" w:hAnsi="Times New Roman"/>
                <w:lang w:val="en-GB"/>
              </w:rPr>
              <w:t xml:space="preserve">Crunchbase, Pitchbook, Dealroom.co </w:t>
            </w:r>
            <w:r w:rsidRPr="00CF490B">
              <w:rPr>
                <w:rFonts w:ascii="Times New Roman" w:hAnsi="Times New Roman"/>
                <w:lang w:val="en-GB"/>
              </w:rPr>
              <w:t>etc.</w:t>
            </w:r>
            <w:r w:rsidR="00946274" w:rsidRPr="00CF490B">
              <w:rPr>
                <w:rFonts w:ascii="Times New Roman" w:hAnsi="Times New Roman"/>
                <w:lang w:val="en-GB"/>
              </w:rPr>
              <w:t>) .</w:t>
            </w:r>
          </w:p>
          <w:p w14:paraId="25D2B104" w14:textId="3065BDDD" w:rsidR="003577EE" w:rsidRPr="00CF490B" w:rsidRDefault="003577EE">
            <w:pPr>
              <w:rPr>
                <w:sz w:val="20"/>
                <w:szCs w:val="20"/>
                <w:lang w:val="en-GB"/>
              </w:rPr>
            </w:pPr>
            <w:r w:rsidRPr="00CF490B">
              <w:rPr>
                <w:sz w:val="20"/>
                <w:szCs w:val="20"/>
                <w:lang w:val="en-GB"/>
              </w:rPr>
              <w:br/>
            </w:r>
            <w:r w:rsidRPr="00CF490B">
              <w:rPr>
                <w:sz w:val="20"/>
                <w:szCs w:val="20"/>
                <w:lang w:val="en-GB"/>
              </w:rPr>
              <w:br/>
            </w:r>
          </w:p>
        </w:tc>
        <w:tc>
          <w:tcPr>
            <w:tcW w:w="4359" w:type="dxa"/>
          </w:tcPr>
          <w:p w14:paraId="1EDDA1A6" w14:textId="3DE04AC2" w:rsidR="003577EE" w:rsidRPr="00CF490B" w:rsidRDefault="003E37E2">
            <w:pPr>
              <w:rPr>
                <w:sz w:val="20"/>
                <w:szCs w:val="20"/>
                <w:lang w:val="en-GB"/>
              </w:rPr>
            </w:pPr>
            <w:r w:rsidRPr="00CF490B">
              <w:rPr>
                <w:sz w:val="20"/>
                <w:szCs w:val="20"/>
                <w:lang w:val="en-GB"/>
              </w:rPr>
              <w:lastRenderedPageBreak/>
              <w:t xml:space="preserve">The supplier or at least one member of the group of suppliers (if the tender is submitted by a group), or the economic operator whose capacities the supplier is relying on, according to the obligations assumed by them in the performance of the Contract. The supplier may rely on capacities of other economic </w:t>
            </w:r>
            <w:r w:rsidRPr="00CF490B">
              <w:rPr>
                <w:sz w:val="20"/>
                <w:szCs w:val="20"/>
                <w:lang w:val="en-GB"/>
              </w:rPr>
              <w:lastRenderedPageBreak/>
              <w:t xml:space="preserve">operators only if the latter themselves will implement the part of the Contract for which their capacities are required. The Supplier is not prohibited from relying on a contract performed jointly with other economic operators, however, in such a case the scope/value of the goods supplied (and installed where applicable) /services provided by the supplier and not the entire value of the contract will be taken into account. </w:t>
            </w:r>
          </w:p>
        </w:tc>
      </w:tr>
      <w:tr w:rsidR="00A02C76" w:rsidRPr="00CF490B" w14:paraId="7C09D96C" w14:textId="77777777" w:rsidTr="00056B96">
        <w:tc>
          <w:tcPr>
            <w:tcW w:w="680" w:type="dxa"/>
          </w:tcPr>
          <w:p w14:paraId="27858F1E" w14:textId="77777777" w:rsidR="00A02C76" w:rsidRPr="00CF490B" w:rsidRDefault="00A02C76">
            <w:pPr>
              <w:rPr>
                <w:sz w:val="20"/>
                <w:szCs w:val="20"/>
                <w:lang w:val="en-GB"/>
              </w:rPr>
            </w:pPr>
          </w:p>
        </w:tc>
        <w:tc>
          <w:tcPr>
            <w:tcW w:w="14709" w:type="dxa"/>
            <w:gridSpan w:val="3"/>
          </w:tcPr>
          <w:p w14:paraId="6EB39FE4" w14:textId="32C12FA9" w:rsidR="00A02C76" w:rsidRPr="00CF490B" w:rsidRDefault="009134C0">
            <w:pPr>
              <w:rPr>
                <w:sz w:val="20"/>
                <w:szCs w:val="20"/>
                <w:lang w:val="en-GB"/>
              </w:rPr>
            </w:pPr>
            <w:r w:rsidRPr="00CF490B">
              <w:rPr>
                <w:sz w:val="20"/>
                <w:szCs w:val="20"/>
                <w:lang w:val="en-GB"/>
              </w:rPr>
              <w:t>All the experts proposed must be fluent in English (both in writing and orally, proficiency level at least C1). This requirement can also be met by hiring an interpreter/translator. If the proposed expert does not meet the specified English proficiency requirement, the Supplier must submit a declaration in free form stating that the Supplier will ensure provision of interpretation/translation services for the purposes of performance of the specialist’s/specialists’ duties under the contract. All costs related to the English translations and interpretation must be included in the service price and will not be paid for separately.</w:t>
            </w:r>
          </w:p>
        </w:tc>
      </w:tr>
      <w:tr w:rsidR="003577EE" w:rsidRPr="00CF490B" w14:paraId="7B0078AF" w14:textId="77777777" w:rsidTr="00056B96">
        <w:tc>
          <w:tcPr>
            <w:tcW w:w="680" w:type="dxa"/>
          </w:tcPr>
          <w:p w14:paraId="6BA17222" w14:textId="77777777" w:rsidR="003577EE" w:rsidRPr="00CF490B" w:rsidRDefault="003577EE">
            <w:pPr>
              <w:rPr>
                <w:sz w:val="20"/>
                <w:szCs w:val="20"/>
                <w:lang w:val="en-GB"/>
              </w:rPr>
            </w:pPr>
            <w:r w:rsidRPr="00CF490B">
              <w:rPr>
                <w:sz w:val="20"/>
                <w:szCs w:val="20"/>
                <w:lang w:val="en-GB"/>
              </w:rPr>
              <w:t>4.</w:t>
            </w:r>
          </w:p>
        </w:tc>
        <w:tc>
          <w:tcPr>
            <w:tcW w:w="4140" w:type="dxa"/>
          </w:tcPr>
          <w:p w14:paraId="23BCA46D" w14:textId="2BEC9C1D" w:rsidR="00EA1D89" w:rsidRPr="00CF490B" w:rsidRDefault="003577EE">
            <w:pPr>
              <w:rPr>
                <w:sz w:val="20"/>
                <w:szCs w:val="20"/>
                <w:lang w:val="en-GB"/>
              </w:rPr>
            </w:pPr>
            <w:r w:rsidRPr="00CF490B">
              <w:rPr>
                <w:sz w:val="20"/>
                <w:szCs w:val="20"/>
                <w:lang w:val="en-GB"/>
              </w:rPr>
              <w:t>T</w:t>
            </w:r>
            <w:r w:rsidR="00EA1D89" w:rsidRPr="00CF490B">
              <w:rPr>
                <w:sz w:val="20"/>
                <w:szCs w:val="20"/>
                <w:lang w:val="en-GB"/>
              </w:rPr>
              <w:t xml:space="preserve">he Supplier shall appoint for the Contract at least 1 (one) specialist </w:t>
            </w:r>
            <w:r w:rsidR="009756F8" w:rsidRPr="00CF490B">
              <w:rPr>
                <w:sz w:val="20"/>
                <w:szCs w:val="20"/>
                <w:lang w:val="en-GB"/>
              </w:rPr>
              <w:t xml:space="preserve">– a Project Manager </w:t>
            </w:r>
            <w:r w:rsidR="00EA1D89" w:rsidRPr="00CF490B">
              <w:rPr>
                <w:sz w:val="20"/>
                <w:szCs w:val="20"/>
                <w:lang w:val="en-GB"/>
              </w:rPr>
              <w:t>meeting the following requirements:</w:t>
            </w:r>
            <w:r w:rsidRPr="00CF490B">
              <w:rPr>
                <w:sz w:val="20"/>
                <w:szCs w:val="20"/>
                <w:lang w:val="en-GB"/>
              </w:rPr>
              <w:br/>
              <w:t>-</w:t>
            </w:r>
            <w:r w:rsidRPr="00CF490B">
              <w:rPr>
                <w:sz w:val="20"/>
                <w:szCs w:val="20"/>
                <w:lang w:val="en-GB"/>
              </w:rPr>
              <w:tab/>
            </w:r>
            <w:r w:rsidR="00EA1D89" w:rsidRPr="00CF490B">
              <w:rPr>
                <w:sz w:val="20"/>
                <w:szCs w:val="20"/>
                <w:lang w:val="en-GB"/>
              </w:rPr>
              <w:t>Higher educational attainment (at least BA or equivalent degree</w:t>
            </w:r>
            <w:r w:rsidRPr="00CF490B">
              <w:rPr>
                <w:sz w:val="20"/>
                <w:szCs w:val="20"/>
                <w:lang w:val="en-GB"/>
              </w:rPr>
              <w:t>)</w:t>
            </w:r>
            <w:r w:rsidR="00EA1D89" w:rsidRPr="00CF490B">
              <w:rPr>
                <w:sz w:val="20"/>
                <w:szCs w:val="20"/>
                <w:lang w:val="en-GB"/>
              </w:rPr>
              <w:t>;</w:t>
            </w:r>
            <w:r w:rsidRPr="00CF490B">
              <w:rPr>
                <w:sz w:val="20"/>
                <w:szCs w:val="20"/>
                <w:lang w:val="en-GB"/>
              </w:rPr>
              <w:br/>
              <w:t>-</w:t>
            </w:r>
            <w:r w:rsidRPr="00CF490B">
              <w:rPr>
                <w:sz w:val="20"/>
                <w:szCs w:val="20"/>
                <w:lang w:val="en-GB"/>
              </w:rPr>
              <w:tab/>
            </w:r>
            <w:r w:rsidR="00EA1D89" w:rsidRPr="00CF490B">
              <w:rPr>
                <w:sz w:val="20"/>
                <w:szCs w:val="20"/>
                <w:lang w:val="en-GB" w:eastAsia="lt-LT"/>
              </w:rPr>
              <w:t>Experience of working in at least 1 (one) international acceleration progra</w:t>
            </w:r>
            <w:r w:rsidRPr="00CF490B">
              <w:rPr>
                <w:sz w:val="20"/>
                <w:szCs w:val="20"/>
                <w:lang w:val="en-GB"/>
              </w:rPr>
              <w:t>m</w:t>
            </w:r>
            <w:r w:rsidR="00EA1D89" w:rsidRPr="00CF490B">
              <w:rPr>
                <w:sz w:val="20"/>
                <w:szCs w:val="20"/>
                <w:lang w:val="en-GB"/>
              </w:rPr>
              <w:t>me</w:t>
            </w:r>
            <w:r w:rsidRPr="00CF490B">
              <w:rPr>
                <w:sz w:val="20"/>
                <w:szCs w:val="20"/>
                <w:vertAlign w:val="superscript"/>
                <w:lang w:val="en-GB"/>
              </w:rPr>
              <w:t>1</w:t>
            </w:r>
            <w:r w:rsidRPr="00CF490B">
              <w:rPr>
                <w:sz w:val="20"/>
                <w:szCs w:val="20"/>
                <w:lang w:val="en-GB"/>
              </w:rPr>
              <w:t xml:space="preserve"> i</w:t>
            </w:r>
            <w:r w:rsidR="00EA1D89" w:rsidRPr="00CF490B">
              <w:rPr>
                <w:sz w:val="20"/>
                <w:szCs w:val="20"/>
                <w:lang w:val="en-GB"/>
              </w:rPr>
              <w:t>n different countries;</w:t>
            </w:r>
            <w:r w:rsidRPr="00CF490B">
              <w:rPr>
                <w:sz w:val="20"/>
                <w:szCs w:val="20"/>
                <w:lang w:val="en-GB"/>
              </w:rPr>
              <w:br/>
              <w:t>-</w:t>
            </w:r>
            <w:r w:rsidRPr="00CF490B">
              <w:rPr>
                <w:sz w:val="20"/>
                <w:szCs w:val="20"/>
                <w:lang w:val="en-GB"/>
              </w:rPr>
              <w:tab/>
            </w:r>
            <w:r w:rsidR="00EA1D89" w:rsidRPr="00CF490B">
              <w:rPr>
                <w:sz w:val="20"/>
                <w:szCs w:val="20"/>
                <w:lang w:val="en-GB" w:eastAsia="lt-LT"/>
              </w:rPr>
              <w:t>Experience of implementing, during the past 3 (three) years, at least 3 (three) cycles</w:t>
            </w:r>
            <w:r w:rsidRPr="00CF490B">
              <w:rPr>
                <w:sz w:val="20"/>
                <w:szCs w:val="20"/>
                <w:vertAlign w:val="superscript"/>
                <w:lang w:val="en-GB"/>
              </w:rPr>
              <w:t>2</w:t>
            </w:r>
            <w:r w:rsidR="00EA1D89" w:rsidRPr="00CF490B">
              <w:rPr>
                <w:sz w:val="20"/>
                <w:szCs w:val="20"/>
                <w:lang w:val="en-GB"/>
              </w:rPr>
              <w:t xml:space="preserve"> of an acceleration programme; </w:t>
            </w:r>
            <w:r w:rsidRPr="00CF490B">
              <w:rPr>
                <w:sz w:val="20"/>
                <w:szCs w:val="20"/>
                <w:lang w:val="en-GB"/>
              </w:rPr>
              <w:t xml:space="preserve"> </w:t>
            </w:r>
            <w:r w:rsidR="00EA1D89" w:rsidRPr="00CF490B">
              <w:rPr>
                <w:sz w:val="20"/>
                <w:szCs w:val="20"/>
                <w:lang w:val="en-GB" w:eastAsia="lt-LT"/>
              </w:rPr>
              <w:t>at least 50 start-ups must have applied to and at least 6 must have participated in each cycle;</w:t>
            </w:r>
          </w:p>
          <w:p w14:paraId="2BA46303" w14:textId="10E42349" w:rsidR="003577EE" w:rsidRPr="00CF490B" w:rsidRDefault="003577EE">
            <w:pPr>
              <w:rPr>
                <w:sz w:val="20"/>
                <w:szCs w:val="20"/>
                <w:lang w:val="en-GB"/>
              </w:rPr>
            </w:pPr>
            <w:r w:rsidRPr="00CF490B">
              <w:rPr>
                <w:sz w:val="20"/>
                <w:szCs w:val="20"/>
                <w:lang w:val="en-GB"/>
              </w:rPr>
              <w:t>-</w:t>
            </w:r>
            <w:r w:rsidRPr="00CF490B">
              <w:rPr>
                <w:sz w:val="20"/>
                <w:szCs w:val="20"/>
                <w:lang w:val="en-GB"/>
              </w:rPr>
              <w:tab/>
            </w:r>
            <w:r w:rsidR="0068157A" w:rsidRPr="00CF490B">
              <w:rPr>
                <w:sz w:val="20"/>
                <w:szCs w:val="20"/>
                <w:lang w:val="en-GB" w:eastAsia="lt-LT"/>
              </w:rPr>
              <w:t>Experience of implementing at least 2 (two) demo days</w:t>
            </w:r>
            <w:r w:rsidRPr="00CF490B">
              <w:rPr>
                <w:sz w:val="20"/>
                <w:szCs w:val="20"/>
                <w:vertAlign w:val="superscript"/>
                <w:lang w:val="en-GB"/>
              </w:rPr>
              <w:t>3</w:t>
            </w:r>
            <w:r w:rsidRPr="00CF490B">
              <w:rPr>
                <w:sz w:val="20"/>
                <w:szCs w:val="20"/>
                <w:lang w:val="en-GB"/>
              </w:rPr>
              <w:t xml:space="preserve"> </w:t>
            </w:r>
            <w:r w:rsidR="0068157A" w:rsidRPr="00CF490B">
              <w:rPr>
                <w:sz w:val="20"/>
                <w:szCs w:val="20"/>
                <w:lang w:val="en-GB"/>
              </w:rPr>
              <w:t>during the past 3 (three) years.</w:t>
            </w:r>
          </w:p>
        </w:tc>
        <w:tc>
          <w:tcPr>
            <w:tcW w:w="6210" w:type="dxa"/>
          </w:tcPr>
          <w:p w14:paraId="16863C04" w14:textId="77777777" w:rsidR="009756F8" w:rsidRPr="00CF490B" w:rsidRDefault="009756F8" w:rsidP="00056B96">
            <w:pPr>
              <w:spacing w:before="120" w:after="120"/>
              <w:rPr>
                <w:sz w:val="20"/>
                <w:szCs w:val="20"/>
                <w:lang w:val="en-GB"/>
              </w:rPr>
            </w:pPr>
            <w:r w:rsidRPr="00CF490B">
              <w:rPr>
                <w:bCs/>
                <w:color w:val="000000"/>
                <w:sz w:val="20"/>
                <w:szCs w:val="20"/>
                <w:lang w:val="en-GB"/>
              </w:rPr>
              <w:t>The ESPD must be completed and digital copies of documents or e-documents must be submitted via the Public Procurement Portal (</w:t>
            </w:r>
            <w:r w:rsidRPr="00CF490B">
              <w:rPr>
                <w:bCs/>
                <w:i/>
                <w:iCs/>
                <w:color w:val="000000"/>
                <w:sz w:val="20"/>
                <w:szCs w:val="20"/>
                <w:lang w:val="en-GB"/>
              </w:rPr>
              <w:t>CVP IS</w:t>
            </w:r>
            <w:r w:rsidRPr="00CF490B">
              <w:rPr>
                <w:bCs/>
                <w:color w:val="000000"/>
                <w:sz w:val="20"/>
                <w:szCs w:val="20"/>
                <w:lang w:val="en-GB"/>
              </w:rPr>
              <w:t>)</w:t>
            </w:r>
            <w:r w:rsidR="003577EE" w:rsidRPr="00CF490B">
              <w:rPr>
                <w:sz w:val="20"/>
                <w:szCs w:val="20"/>
                <w:lang w:val="en-GB"/>
              </w:rPr>
              <w:t>:</w:t>
            </w:r>
          </w:p>
          <w:p w14:paraId="5C0FB259" w14:textId="427B510B" w:rsidR="009756F8" w:rsidRPr="00CF490B" w:rsidRDefault="003577EE" w:rsidP="00056B96">
            <w:pPr>
              <w:spacing w:before="120" w:after="120"/>
              <w:rPr>
                <w:sz w:val="20"/>
                <w:szCs w:val="20"/>
                <w:lang w:val="en-GB"/>
              </w:rPr>
            </w:pPr>
            <w:r w:rsidRPr="00CF490B">
              <w:rPr>
                <w:sz w:val="20"/>
                <w:szCs w:val="20"/>
                <w:lang w:val="en-GB"/>
              </w:rPr>
              <w:br/>
              <w:t>1.</w:t>
            </w:r>
            <w:r w:rsidRPr="00CF490B">
              <w:rPr>
                <w:sz w:val="20"/>
                <w:szCs w:val="20"/>
                <w:lang w:val="en-GB"/>
              </w:rPr>
              <w:tab/>
              <w:t xml:space="preserve"> </w:t>
            </w:r>
            <w:r w:rsidR="009756F8" w:rsidRPr="00CF490B">
              <w:rPr>
                <w:bCs/>
                <w:iCs/>
                <w:sz w:val="20"/>
                <w:szCs w:val="20"/>
                <w:lang w:val="en-GB" w:eastAsia="ar-SA"/>
              </w:rPr>
              <w:t>A list of specialists indicating full name and position of each specialist (Appendix 1 to the Tender Form);</w:t>
            </w:r>
            <w:r w:rsidRPr="00CF490B">
              <w:rPr>
                <w:sz w:val="20"/>
                <w:szCs w:val="20"/>
                <w:lang w:val="en-GB"/>
              </w:rPr>
              <w:br/>
              <w:t>2.</w:t>
            </w:r>
            <w:r w:rsidRPr="00CF490B">
              <w:rPr>
                <w:sz w:val="20"/>
                <w:szCs w:val="20"/>
                <w:lang w:val="en-GB"/>
              </w:rPr>
              <w:tab/>
              <w:t xml:space="preserve"> </w:t>
            </w:r>
            <w:r w:rsidR="009756F8" w:rsidRPr="00CF490B">
              <w:rPr>
                <w:bCs/>
                <w:iCs/>
                <w:sz w:val="20"/>
                <w:szCs w:val="20"/>
                <w:lang w:val="en-GB" w:eastAsia="ar-SA"/>
              </w:rPr>
              <w:t>The specialist‘s consent to provide the services specified in the Contract if he/she is employed by a company other than the Supplier or subsupplier, and a confirmation issued by the Supplier or subsupplier that they will employ the specialist in the case of award of the contract (provided that the specialist is not proposed as a subsupplier</w:t>
            </w:r>
            <w:r w:rsidR="00987B75" w:rsidRPr="00CF490B">
              <w:rPr>
                <w:bCs/>
                <w:iCs/>
                <w:sz w:val="20"/>
                <w:szCs w:val="20"/>
                <w:lang w:val="en-GB" w:eastAsia="ar-SA"/>
              </w:rPr>
              <w:t>)</w:t>
            </w:r>
            <w:r w:rsidR="009756F8" w:rsidRPr="00CF490B">
              <w:rPr>
                <w:bCs/>
                <w:iCs/>
                <w:sz w:val="20"/>
                <w:szCs w:val="20"/>
                <w:lang w:val="en-GB" w:eastAsia="ar-SA"/>
              </w:rPr>
              <w:t>;</w:t>
            </w:r>
            <w:r w:rsidRPr="00CF490B">
              <w:rPr>
                <w:sz w:val="20"/>
                <w:szCs w:val="20"/>
                <w:lang w:val="en-GB"/>
              </w:rPr>
              <w:br/>
              <w:t>3.</w:t>
            </w:r>
            <w:r w:rsidRPr="00CF490B">
              <w:rPr>
                <w:sz w:val="20"/>
                <w:szCs w:val="20"/>
                <w:lang w:val="en-GB"/>
              </w:rPr>
              <w:tab/>
              <w:t xml:space="preserve"> </w:t>
            </w:r>
            <w:r w:rsidR="009756F8" w:rsidRPr="00CF490B">
              <w:rPr>
                <w:sz w:val="20"/>
                <w:szCs w:val="20"/>
                <w:lang w:val="en-GB"/>
              </w:rPr>
              <w:t xml:space="preserve">Proficiency in English must be declared in </w:t>
            </w:r>
            <w:r w:rsidR="009756F8" w:rsidRPr="00CF490B">
              <w:rPr>
                <w:bCs/>
                <w:iCs/>
                <w:sz w:val="20"/>
                <w:szCs w:val="20"/>
                <w:lang w:val="en-GB" w:eastAsia="ar-SA"/>
              </w:rPr>
              <w:t>Appendix 2 to the Tender Form</w:t>
            </w:r>
            <w:r w:rsidR="009756F8" w:rsidRPr="00CF490B">
              <w:rPr>
                <w:sz w:val="20"/>
                <w:szCs w:val="20"/>
                <w:lang w:val="en-GB"/>
              </w:rPr>
              <w:t xml:space="preserve"> and a </w:t>
            </w:r>
            <w:r w:rsidR="00CF490B" w:rsidRPr="00CF490B">
              <w:rPr>
                <w:sz w:val="20"/>
                <w:szCs w:val="20"/>
                <w:lang w:val="en-GB"/>
              </w:rPr>
              <w:t>supporting</w:t>
            </w:r>
            <w:r w:rsidR="009756F8" w:rsidRPr="00CF490B">
              <w:rPr>
                <w:sz w:val="20"/>
                <w:szCs w:val="20"/>
                <w:lang w:val="en-GB"/>
              </w:rPr>
              <w:t xml:space="preserve"> document must be submitted (a declaration in free form or a copy of relevant certificate or equivalent document);</w:t>
            </w:r>
            <w:r w:rsidR="004B7CA7" w:rsidRPr="00CF490B">
              <w:rPr>
                <w:sz w:val="20"/>
                <w:szCs w:val="20"/>
                <w:lang w:val="en-GB"/>
              </w:rPr>
              <w:t xml:space="preserve"> </w:t>
            </w:r>
          </w:p>
          <w:p w14:paraId="4324353D" w14:textId="785449F4" w:rsidR="009756F8" w:rsidRPr="00CF490B" w:rsidRDefault="003577EE" w:rsidP="00056B96">
            <w:pPr>
              <w:spacing w:before="120" w:after="120"/>
              <w:rPr>
                <w:sz w:val="20"/>
                <w:szCs w:val="20"/>
                <w:lang w:val="en-GB"/>
              </w:rPr>
            </w:pPr>
            <w:r w:rsidRPr="00CF490B">
              <w:rPr>
                <w:sz w:val="20"/>
                <w:szCs w:val="20"/>
                <w:lang w:val="en-GB"/>
              </w:rPr>
              <w:t>4.</w:t>
            </w:r>
            <w:r w:rsidRPr="00CF490B">
              <w:rPr>
                <w:sz w:val="20"/>
                <w:szCs w:val="20"/>
                <w:lang w:val="en-GB"/>
              </w:rPr>
              <w:tab/>
            </w:r>
            <w:r w:rsidR="009756F8" w:rsidRPr="00CF490B">
              <w:rPr>
                <w:bCs/>
                <w:sz w:val="20"/>
                <w:szCs w:val="20"/>
                <w:lang w:val="en-GB"/>
              </w:rPr>
              <w:t>A copy/copies  of a document/documents proving university or equivalent higher educational attainment;</w:t>
            </w:r>
            <w:r w:rsidRPr="00CF490B">
              <w:rPr>
                <w:sz w:val="20"/>
                <w:szCs w:val="20"/>
                <w:lang w:val="en-GB"/>
              </w:rPr>
              <w:t xml:space="preserve"> </w:t>
            </w:r>
            <w:r w:rsidRPr="00CF490B">
              <w:rPr>
                <w:sz w:val="20"/>
                <w:szCs w:val="20"/>
                <w:lang w:val="en-GB"/>
              </w:rPr>
              <w:br/>
              <w:t xml:space="preserve">5. </w:t>
            </w:r>
            <w:r w:rsidR="00AB3D6D">
              <w:rPr>
                <w:sz w:val="20"/>
                <w:szCs w:val="20"/>
                <w:lang w:val="en-GB"/>
              </w:rPr>
              <w:t xml:space="preserve">           </w:t>
            </w:r>
            <w:r w:rsidR="009756F8" w:rsidRPr="00CF490B">
              <w:rPr>
                <w:sz w:val="20"/>
                <w:szCs w:val="20"/>
                <w:lang w:val="en-GB"/>
              </w:rPr>
              <w:t xml:space="preserve">The Project Manager must submit a completed and signed Appendix 2 to the Tender Form in which information on implementation of the acceleration programme (place and timing,  number of applying start-ups and number and names of participating start-ups) is provided. Information about programme cycles implemented, their dates and places, names and countries of participating start-ups.  </w:t>
            </w:r>
            <w:r w:rsidR="00987B75" w:rsidRPr="00CF490B">
              <w:rPr>
                <w:sz w:val="20"/>
                <w:szCs w:val="20"/>
                <w:lang w:val="en-GB"/>
              </w:rPr>
              <w:t>I</w:t>
            </w:r>
            <w:r w:rsidR="009756F8" w:rsidRPr="00CF490B">
              <w:rPr>
                <w:sz w:val="20"/>
                <w:szCs w:val="20"/>
                <w:lang w:val="en-GB"/>
              </w:rPr>
              <w:t>nformation about the demo days organised</w:t>
            </w:r>
            <w:r w:rsidRPr="00CF490B">
              <w:rPr>
                <w:sz w:val="20"/>
                <w:szCs w:val="20"/>
                <w:lang w:val="en-GB"/>
              </w:rPr>
              <w:t>.</w:t>
            </w:r>
          </w:p>
          <w:p w14:paraId="5C7729DA" w14:textId="5F1B3987" w:rsidR="003577EE" w:rsidRPr="00CF490B" w:rsidRDefault="003577EE" w:rsidP="00056B96">
            <w:pPr>
              <w:spacing w:before="120" w:after="120"/>
              <w:rPr>
                <w:sz w:val="20"/>
                <w:szCs w:val="20"/>
                <w:lang w:val="en-GB"/>
              </w:rPr>
            </w:pPr>
          </w:p>
        </w:tc>
        <w:tc>
          <w:tcPr>
            <w:tcW w:w="4359" w:type="dxa"/>
          </w:tcPr>
          <w:p w14:paraId="628D8023" w14:textId="142BFA0A" w:rsidR="00056B96" w:rsidRPr="00CF490B" w:rsidRDefault="00056B96">
            <w:pPr>
              <w:rPr>
                <w:sz w:val="20"/>
                <w:szCs w:val="20"/>
                <w:lang w:val="en-GB"/>
              </w:rPr>
            </w:pPr>
            <w:r w:rsidRPr="00CF490B">
              <w:rPr>
                <w:sz w:val="20"/>
                <w:szCs w:val="20"/>
                <w:lang w:val="en-GB"/>
              </w:rPr>
              <w:t xml:space="preserve">Specialists of the supplier or a member/members of the group of suppliers (if the tender is submitted by a group), or another economic operator (his employee) whose capacities the supplier is relying on, depending on the obligations assumed by them in the performance of the Contract. The supplier may rely on capacities of other economic operators only if the latter (the latter‘s employees) themselves will implement the part of the Contract for which their capacities are required. If the supplier (his specialists) himself meets the requirement but intends to hire subsuppliers (their specialists), then the subsuppliers‘ specialists must meet the set requirements if they themselves will implement the part of the Contract for which their qualifications are required. </w:t>
            </w:r>
          </w:p>
        </w:tc>
      </w:tr>
      <w:tr w:rsidR="003577EE" w:rsidRPr="00CF490B" w14:paraId="4840B1D0" w14:textId="77777777" w:rsidTr="00056B96">
        <w:tc>
          <w:tcPr>
            <w:tcW w:w="680" w:type="dxa"/>
          </w:tcPr>
          <w:p w14:paraId="5C22C197" w14:textId="77777777" w:rsidR="003577EE" w:rsidRPr="00CF490B" w:rsidRDefault="003577EE">
            <w:pPr>
              <w:rPr>
                <w:sz w:val="20"/>
                <w:szCs w:val="20"/>
                <w:lang w:val="en-GB"/>
              </w:rPr>
            </w:pPr>
            <w:r w:rsidRPr="00CF490B">
              <w:rPr>
                <w:sz w:val="20"/>
                <w:szCs w:val="20"/>
                <w:lang w:val="en-GB"/>
              </w:rPr>
              <w:lastRenderedPageBreak/>
              <w:t>5.</w:t>
            </w:r>
          </w:p>
        </w:tc>
        <w:tc>
          <w:tcPr>
            <w:tcW w:w="4140" w:type="dxa"/>
          </w:tcPr>
          <w:p w14:paraId="4A35DE1F" w14:textId="77777777" w:rsidR="00F9184A" w:rsidRDefault="009756F8">
            <w:pPr>
              <w:rPr>
                <w:sz w:val="20"/>
                <w:szCs w:val="20"/>
                <w:lang w:val="en-GB"/>
              </w:rPr>
            </w:pPr>
            <w:r w:rsidRPr="00CF490B">
              <w:rPr>
                <w:sz w:val="20"/>
                <w:szCs w:val="20"/>
                <w:lang w:val="en-GB"/>
              </w:rPr>
              <w:t>The Supplier shall appoint for the Contract at least 1 (one) specialist – a Public Relations Officer meeting the following requirements</w:t>
            </w:r>
            <w:r w:rsidR="003577EE" w:rsidRPr="00CF490B">
              <w:rPr>
                <w:sz w:val="20"/>
                <w:szCs w:val="20"/>
                <w:lang w:val="en-GB"/>
              </w:rPr>
              <w:t>:</w:t>
            </w:r>
            <w:r w:rsidR="003577EE" w:rsidRPr="00CF490B">
              <w:rPr>
                <w:sz w:val="20"/>
                <w:szCs w:val="20"/>
                <w:lang w:val="en-GB"/>
              </w:rPr>
              <w:br/>
              <w:t>-</w:t>
            </w:r>
            <w:r w:rsidR="003577EE" w:rsidRPr="00CF490B">
              <w:rPr>
                <w:sz w:val="20"/>
                <w:szCs w:val="20"/>
                <w:lang w:val="en-GB"/>
              </w:rPr>
              <w:tab/>
            </w:r>
            <w:r w:rsidR="000C2824" w:rsidRPr="00CF490B">
              <w:rPr>
                <w:sz w:val="20"/>
                <w:szCs w:val="20"/>
                <w:lang w:val="en-GB"/>
              </w:rPr>
              <w:t>Higher educational attainment (at least BA or equivalent degree</w:t>
            </w:r>
            <w:r w:rsidR="003577EE" w:rsidRPr="00CF490B">
              <w:rPr>
                <w:sz w:val="20"/>
                <w:szCs w:val="20"/>
                <w:lang w:val="en-GB"/>
              </w:rPr>
              <w:t>)</w:t>
            </w:r>
            <w:r w:rsidR="000C2824" w:rsidRPr="00CF490B">
              <w:rPr>
                <w:sz w:val="20"/>
                <w:szCs w:val="20"/>
                <w:lang w:val="en-GB"/>
              </w:rPr>
              <w:t>;</w:t>
            </w:r>
            <w:r w:rsidR="003577EE" w:rsidRPr="00CF490B">
              <w:rPr>
                <w:sz w:val="20"/>
                <w:szCs w:val="20"/>
                <w:lang w:val="en-GB"/>
              </w:rPr>
              <w:br/>
              <w:t xml:space="preserve">- </w:t>
            </w:r>
            <w:r w:rsidR="000C2824" w:rsidRPr="00CF490B">
              <w:rPr>
                <w:sz w:val="20"/>
                <w:szCs w:val="20"/>
                <w:lang w:val="en-GB"/>
              </w:rPr>
              <w:t>At least 12</w:t>
            </w:r>
            <w:r w:rsidR="00F9184A">
              <w:rPr>
                <w:sz w:val="20"/>
                <w:szCs w:val="20"/>
                <w:lang w:val="en-GB"/>
              </w:rPr>
              <w:t>*</w:t>
            </w:r>
            <w:r w:rsidR="000C2824" w:rsidRPr="00CF490B">
              <w:rPr>
                <w:sz w:val="20"/>
                <w:szCs w:val="20"/>
                <w:lang w:val="en-GB"/>
              </w:rPr>
              <w:t xml:space="preserve"> </w:t>
            </w:r>
            <w:proofErr w:type="gramStart"/>
            <w:r w:rsidR="000C2824" w:rsidRPr="00CF490B">
              <w:rPr>
                <w:sz w:val="20"/>
                <w:szCs w:val="20"/>
                <w:lang w:val="en-GB"/>
              </w:rPr>
              <w:t>months‘ experience</w:t>
            </w:r>
            <w:proofErr w:type="gramEnd"/>
            <w:r w:rsidR="000C2824" w:rsidRPr="00CF490B">
              <w:rPr>
                <w:sz w:val="20"/>
                <w:szCs w:val="20"/>
                <w:lang w:val="en-GB"/>
              </w:rPr>
              <w:t xml:space="preserve"> of working in public relations, marketing, media or communication;</w:t>
            </w:r>
          </w:p>
          <w:p w14:paraId="45AA71E8" w14:textId="2CD0298B" w:rsidR="00F9184A" w:rsidRDefault="00F9184A">
            <w:pPr>
              <w:rPr>
                <w:sz w:val="20"/>
                <w:szCs w:val="20"/>
                <w:lang w:val="en-GB"/>
              </w:rPr>
            </w:pPr>
            <w:r>
              <w:rPr>
                <w:sz w:val="20"/>
                <w:szCs w:val="20"/>
                <w:lang w:val="en-GB"/>
              </w:rPr>
              <w:t xml:space="preserve">*- The durations of </w:t>
            </w:r>
            <w:r w:rsidR="006639AD">
              <w:rPr>
                <w:sz w:val="20"/>
                <w:szCs w:val="20"/>
                <w:lang w:val="en-GB"/>
              </w:rPr>
              <w:t>simultaneously executed projects/contracts are not summed up. Work experience is calculated by summing the durations of projects (contracts) in months to the corresponding number of years – less that a month’s experience is counted as a full month’s experience.</w:t>
            </w:r>
          </w:p>
          <w:p w14:paraId="3C69ACFA" w14:textId="69EAC6E8" w:rsidR="003577EE" w:rsidRPr="00CF490B" w:rsidRDefault="003577EE">
            <w:pPr>
              <w:rPr>
                <w:sz w:val="20"/>
                <w:szCs w:val="20"/>
                <w:lang w:val="en-GB"/>
              </w:rPr>
            </w:pPr>
            <w:r w:rsidRPr="00CF490B">
              <w:rPr>
                <w:sz w:val="20"/>
                <w:szCs w:val="20"/>
                <w:lang w:val="en-GB"/>
              </w:rPr>
              <w:t xml:space="preserve">- </w:t>
            </w:r>
            <w:r w:rsidR="000C2824" w:rsidRPr="00CF490B">
              <w:rPr>
                <w:sz w:val="20"/>
                <w:szCs w:val="20"/>
                <w:lang w:val="en-GB" w:eastAsia="lt-LT"/>
              </w:rPr>
              <w:t>Experience of implementing at least 1 (one) international publicity campaign during the past 3 (three) years, designed for attracting participants to at least 1 (one) programme cycle; at least 50 start-ups from more than one country must have applied for such cycle</w:t>
            </w:r>
            <w:r w:rsidR="00D75588" w:rsidRPr="00CF490B">
              <w:rPr>
                <w:sz w:val="20"/>
                <w:szCs w:val="20"/>
                <w:lang w:val="en-GB"/>
              </w:rPr>
              <w:t>.</w:t>
            </w:r>
          </w:p>
        </w:tc>
        <w:tc>
          <w:tcPr>
            <w:tcW w:w="6210" w:type="dxa"/>
          </w:tcPr>
          <w:p w14:paraId="2884B5C4" w14:textId="77777777" w:rsidR="000C2824" w:rsidRPr="00CF490B" w:rsidRDefault="000C2824" w:rsidP="00056B96">
            <w:pPr>
              <w:spacing w:before="120" w:after="120"/>
              <w:rPr>
                <w:sz w:val="20"/>
                <w:szCs w:val="20"/>
                <w:lang w:val="en-GB"/>
              </w:rPr>
            </w:pPr>
            <w:r w:rsidRPr="00CF490B">
              <w:rPr>
                <w:bCs/>
                <w:color w:val="000000"/>
                <w:sz w:val="20"/>
                <w:szCs w:val="20"/>
                <w:lang w:val="en-GB"/>
              </w:rPr>
              <w:t>The ESPD must be completed and digital copies of documents or e-documents must be submitted via the Public Procurement Portal (</w:t>
            </w:r>
            <w:r w:rsidRPr="00CF490B">
              <w:rPr>
                <w:bCs/>
                <w:i/>
                <w:iCs/>
                <w:color w:val="000000"/>
                <w:sz w:val="20"/>
                <w:szCs w:val="20"/>
                <w:lang w:val="en-GB"/>
              </w:rPr>
              <w:t>CVP IS</w:t>
            </w:r>
            <w:r w:rsidRPr="00CF490B">
              <w:rPr>
                <w:bCs/>
                <w:color w:val="000000"/>
                <w:sz w:val="20"/>
                <w:szCs w:val="20"/>
                <w:lang w:val="en-GB"/>
              </w:rPr>
              <w:t>)</w:t>
            </w:r>
            <w:r w:rsidRPr="00CF490B">
              <w:rPr>
                <w:sz w:val="20"/>
                <w:szCs w:val="20"/>
                <w:lang w:val="en-GB"/>
              </w:rPr>
              <w:t>:</w:t>
            </w:r>
          </w:p>
          <w:p w14:paraId="2E7282FB" w14:textId="12085B94" w:rsidR="005A6CEA" w:rsidRDefault="003577EE" w:rsidP="00AB3D6D">
            <w:pPr>
              <w:spacing w:before="120" w:after="120"/>
              <w:rPr>
                <w:sz w:val="20"/>
                <w:szCs w:val="20"/>
                <w:lang w:val="en-GB"/>
              </w:rPr>
            </w:pPr>
            <w:r w:rsidRPr="00CF490B">
              <w:rPr>
                <w:sz w:val="20"/>
                <w:szCs w:val="20"/>
                <w:lang w:val="en-GB"/>
              </w:rPr>
              <w:br/>
              <w:t>1.</w:t>
            </w:r>
            <w:r w:rsidRPr="00CF490B">
              <w:rPr>
                <w:sz w:val="20"/>
                <w:szCs w:val="20"/>
                <w:lang w:val="en-GB"/>
              </w:rPr>
              <w:tab/>
              <w:t xml:space="preserve"> </w:t>
            </w:r>
            <w:r w:rsidR="00987B75" w:rsidRPr="00CF490B">
              <w:rPr>
                <w:bCs/>
                <w:iCs/>
                <w:sz w:val="20"/>
                <w:szCs w:val="20"/>
                <w:lang w:val="en-GB" w:eastAsia="ar-SA"/>
              </w:rPr>
              <w:t>A list of specialists indicating full name and position of each specialist (Appendix 1 to the Tender Form</w:t>
            </w:r>
            <w:r w:rsidR="00612817">
              <w:rPr>
                <w:bCs/>
                <w:iCs/>
                <w:sz w:val="20"/>
                <w:szCs w:val="20"/>
                <w:lang w:val="en-GB" w:eastAsia="ar-SA"/>
              </w:rPr>
              <w:t>)</w:t>
            </w:r>
            <w:r w:rsidR="00987B75" w:rsidRPr="00CF490B">
              <w:rPr>
                <w:bCs/>
                <w:iCs/>
                <w:sz w:val="20"/>
                <w:szCs w:val="20"/>
                <w:lang w:val="en-GB" w:eastAsia="ar-SA"/>
              </w:rPr>
              <w:t>;</w:t>
            </w:r>
            <w:r w:rsidRPr="00CF490B">
              <w:rPr>
                <w:sz w:val="20"/>
                <w:szCs w:val="20"/>
                <w:lang w:val="en-GB"/>
              </w:rPr>
              <w:br/>
              <w:t>2.</w:t>
            </w:r>
            <w:r w:rsidRPr="00CF490B">
              <w:rPr>
                <w:sz w:val="20"/>
                <w:szCs w:val="20"/>
                <w:lang w:val="en-GB"/>
              </w:rPr>
              <w:tab/>
              <w:t xml:space="preserve"> </w:t>
            </w:r>
            <w:r w:rsidR="00987B75" w:rsidRPr="00CF490B">
              <w:rPr>
                <w:bCs/>
                <w:iCs/>
                <w:sz w:val="20"/>
                <w:szCs w:val="20"/>
                <w:lang w:val="en-GB" w:eastAsia="ar-SA"/>
              </w:rPr>
              <w:t>The specialist‘s consent to provide the services specified in the Contract if he/she is employed by a company other than the Supplier or subsupplier, and a confirmation issued by the Supplier or subsupplier that they will employ the specialist in the case of award of the contract (provided that the specialist is not proposed as a subsupplier</w:t>
            </w:r>
            <w:r w:rsidRPr="00CF490B">
              <w:rPr>
                <w:sz w:val="20"/>
                <w:szCs w:val="20"/>
                <w:lang w:val="en-GB"/>
              </w:rPr>
              <w:t>)</w:t>
            </w:r>
            <w:r w:rsidR="00987B75" w:rsidRPr="00CF490B">
              <w:rPr>
                <w:sz w:val="20"/>
                <w:szCs w:val="20"/>
                <w:lang w:val="en-GB"/>
              </w:rPr>
              <w:t>;</w:t>
            </w:r>
            <w:r w:rsidRPr="00CF490B">
              <w:rPr>
                <w:sz w:val="20"/>
                <w:szCs w:val="20"/>
                <w:lang w:val="en-GB"/>
              </w:rPr>
              <w:br/>
              <w:t>3.</w:t>
            </w:r>
            <w:r w:rsidRPr="00CF490B">
              <w:rPr>
                <w:sz w:val="20"/>
                <w:szCs w:val="20"/>
                <w:lang w:val="en-GB"/>
              </w:rPr>
              <w:tab/>
              <w:t xml:space="preserve"> </w:t>
            </w:r>
            <w:r w:rsidR="00987B75" w:rsidRPr="00CF490B">
              <w:rPr>
                <w:sz w:val="20"/>
                <w:szCs w:val="20"/>
                <w:lang w:val="en-GB"/>
              </w:rPr>
              <w:t xml:space="preserve">Proficiency in English must be declared in </w:t>
            </w:r>
            <w:r w:rsidR="00987B75" w:rsidRPr="00CF490B">
              <w:rPr>
                <w:bCs/>
                <w:iCs/>
                <w:sz w:val="20"/>
                <w:szCs w:val="20"/>
                <w:lang w:val="en-GB" w:eastAsia="ar-SA"/>
              </w:rPr>
              <w:t>Appendix 2 to the Tender Form</w:t>
            </w:r>
            <w:r w:rsidR="00987B75" w:rsidRPr="00CF490B">
              <w:rPr>
                <w:sz w:val="20"/>
                <w:szCs w:val="20"/>
                <w:lang w:val="en-GB"/>
              </w:rPr>
              <w:t xml:space="preserve"> and a </w:t>
            </w:r>
            <w:r w:rsidR="00CF490B" w:rsidRPr="00CF490B">
              <w:rPr>
                <w:sz w:val="20"/>
                <w:szCs w:val="20"/>
                <w:lang w:val="en-GB"/>
              </w:rPr>
              <w:t>supporting</w:t>
            </w:r>
            <w:r w:rsidR="00987B75" w:rsidRPr="00CF490B">
              <w:rPr>
                <w:sz w:val="20"/>
                <w:szCs w:val="20"/>
                <w:lang w:val="en-GB"/>
              </w:rPr>
              <w:t xml:space="preserve"> document must be submitted (a declaration in free form or a copy of relevant certificate or equivalent document</w:t>
            </w:r>
            <w:r w:rsidR="003213D7" w:rsidRPr="00CF490B">
              <w:rPr>
                <w:sz w:val="20"/>
                <w:szCs w:val="20"/>
                <w:lang w:val="en-GB"/>
              </w:rPr>
              <w:t>)</w:t>
            </w:r>
            <w:r w:rsidR="00987B75" w:rsidRPr="00CF490B">
              <w:rPr>
                <w:sz w:val="20"/>
                <w:szCs w:val="20"/>
                <w:lang w:val="en-GB"/>
              </w:rPr>
              <w:t>;</w:t>
            </w:r>
            <w:r w:rsidRPr="00CF490B">
              <w:rPr>
                <w:sz w:val="20"/>
                <w:szCs w:val="20"/>
                <w:lang w:val="en-GB"/>
              </w:rPr>
              <w:t xml:space="preserve"> </w:t>
            </w:r>
            <w:r w:rsidRPr="00CF490B">
              <w:rPr>
                <w:sz w:val="20"/>
                <w:szCs w:val="20"/>
                <w:lang w:val="en-GB"/>
              </w:rPr>
              <w:br/>
              <w:t>4.</w:t>
            </w:r>
            <w:r w:rsidRPr="00CF490B">
              <w:rPr>
                <w:sz w:val="20"/>
                <w:szCs w:val="20"/>
                <w:lang w:val="en-GB"/>
              </w:rPr>
              <w:tab/>
            </w:r>
            <w:r w:rsidR="00987B75" w:rsidRPr="00CF490B">
              <w:rPr>
                <w:bCs/>
                <w:sz w:val="20"/>
                <w:szCs w:val="20"/>
                <w:lang w:val="en-GB"/>
              </w:rPr>
              <w:t>A copy/</w:t>
            </w:r>
            <w:proofErr w:type="gramStart"/>
            <w:r w:rsidR="00987B75" w:rsidRPr="00CF490B">
              <w:rPr>
                <w:bCs/>
                <w:sz w:val="20"/>
                <w:szCs w:val="20"/>
                <w:lang w:val="en-GB"/>
              </w:rPr>
              <w:t>copies  of</w:t>
            </w:r>
            <w:proofErr w:type="gramEnd"/>
            <w:r w:rsidR="00987B75" w:rsidRPr="00CF490B">
              <w:rPr>
                <w:bCs/>
                <w:sz w:val="20"/>
                <w:szCs w:val="20"/>
                <w:lang w:val="en-GB"/>
              </w:rPr>
              <w:t xml:space="preserve"> a document/documents proving university or equivalent higher educational attainment</w:t>
            </w:r>
            <w:r w:rsidR="00987B75" w:rsidRPr="00CF490B">
              <w:rPr>
                <w:sz w:val="20"/>
                <w:szCs w:val="20"/>
                <w:lang w:val="en-GB"/>
              </w:rPr>
              <w:t>;</w:t>
            </w:r>
            <w:r w:rsidRPr="00CF490B">
              <w:rPr>
                <w:sz w:val="20"/>
                <w:szCs w:val="20"/>
                <w:lang w:val="en-GB"/>
              </w:rPr>
              <w:t xml:space="preserve"> </w:t>
            </w:r>
            <w:r w:rsidRPr="00CF490B">
              <w:rPr>
                <w:sz w:val="20"/>
                <w:szCs w:val="20"/>
                <w:lang w:val="en-GB"/>
              </w:rPr>
              <w:br/>
              <w:t xml:space="preserve">5. </w:t>
            </w:r>
            <w:r w:rsidR="00F9184A">
              <w:rPr>
                <w:sz w:val="20"/>
                <w:szCs w:val="20"/>
                <w:lang w:val="en-GB"/>
              </w:rPr>
              <w:t xml:space="preserve"> M</w:t>
            </w:r>
            <w:r w:rsidR="00987B75" w:rsidRPr="00CF490B">
              <w:rPr>
                <w:sz w:val="20"/>
                <w:szCs w:val="20"/>
                <w:lang w:val="en-GB"/>
              </w:rPr>
              <w:t xml:space="preserve">ust submit a completed and signed Appendix 2 to the Tender Form in which </w:t>
            </w:r>
            <w:r w:rsidR="005A6CEA">
              <w:rPr>
                <w:sz w:val="20"/>
                <w:szCs w:val="20"/>
                <w:lang w:val="en-GB"/>
              </w:rPr>
              <w:t xml:space="preserve">provide </w:t>
            </w:r>
            <w:r w:rsidR="00987B75" w:rsidRPr="00CF490B">
              <w:rPr>
                <w:sz w:val="20"/>
                <w:szCs w:val="20"/>
                <w:lang w:val="en-GB"/>
              </w:rPr>
              <w:t>information</w:t>
            </w:r>
            <w:r w:rsidR="005A6CEA">
              <w:rPr>
                <w:sz w:val="20"/>
                <w:szCs w:val="20"/>
                <w:lang w:val="en-GB"/>
              </w:rPr>
              <w:t>:</w:t>
            </w:r>
          </w:p>
          <w:p w14:paraId="2A1C6F6C" w14:textId="32EF91C0" w:rsidR="005A6CEA" w:rsidRPr="005A6CEA" w:rsidRDefault="005A6CEA" w:rsidP="005A6CEA">
            <w:pPr>
              <w:pStyle w:val="Sraopastraipa"/>
              <w:numPr>
                <w:ilvl w:val="3"/>
                <w:numId w:val="4"/>
              </w:numPr>
              <w:spacing w:before="120" w:after="120"/>
              <w:ind w:left="480" w:hanging="425"/>
              <w:rPr>
                <w:rFonts w:ascii="Times New Roman" w:hAnsi="Times New Roman"/>
                <w:lang w:val="en-GB"/>
              </w:rPr>
            </w:pPr>
            <w:r w:rsidRPr="005A6CEA">
              <w:rPr>
                <w:rFonts w:ascii="Times New Roman" w:hAnsi="Times New Roman"/>
                <w:lang w:val="en-GB"/>
              </w:rPr>
              <w:t xml:space="preserve">on at least </w:t>
            </w:r>
            <w:r w:rsidRPr="005A6CEA">
              <w:rPr>
                <w:rFonts w:ascii="Times New Roman" w:hAnsi="Times New Roman"/>
                <w:lang w:val="en-US"/>
              </w:rPr>
              <w:t xml:space="preserve">12 months work experience in public relations, marketing, media, communications projects, contacts of persons, who can provide information about implemented </w:t>
            </w:r>
            <w:proofErr w:type="gramStart"/>
            <w:r w:rsidRPr="005A6CEA">
              <w:rPr>
                <w:rFonts w:ascii="Times New Roman" w:hAnsi="Times New Roman"/>
                <w:lang w:val="en-US"/>
              </w:rPr>
              <w:t>projects;</w:t>
            </w:r>
            <w:proofErr w:type="gramEnd"/>
          </w:p>
          <w:p w14:paraId="46F1D530" w14:textId="4541E6D7" w:rsidR="00987B75" w:rsidRPr="005A6CEA" w:rsidRDefault="00987B75" w:rsidP="005A6CEA">
            <w:pPr>
              <w:pStyle w:val="Sraopastraipa"/>
              <w:numPr>
                <w:ilvl w:val="3"/>
                <w:numId w:val="4"/>
              </w:numPr>
              <w:spacing w:before="120" w:after="120"/>
              <w:ind w:left="480" w:hanging="425"/>
              <w:rPr>
                <w:rFonts w:ascii="Times New Roman" w:hAnsi="Times New Roman"/>
                <w:lang w:val="en-GB"/>
              </w:rPr>
            </w:pPr>
            <w:r w:rsidRPr="005A6CEA">
              <w:rPr>
                <w:rFonts w:ascii="Times New Roman" w:hAnsi="Times New Roman"/>
                <w:lang w:val="en-GB"/>
              </w:rPr>
              <w:t xml:space="preserve">on implementation of the acceleration programme’s publicity campaign is provided: date, period, brief description, number of applicant start-ups, specifying their countries. </w:t>
            </w:r>
          </w:p>
          <w:p w14:paraId="3D1DB49C" w14:textId="5CD733FA" w:rsidR="00F9184A" w:rsidRPr="00CF490B" w:rsidRDefault="00F9184A" w:rsidP="00AB3D6D">
            <w:pPr>
              <w:spacing w:before="120" w:after="120"/>
              <w:rPr>
                <w:sz w:val="20"/>
                <w:szCs w:val="20"/>
                <w:lang w:val="en-GB"/>
              </w:rPr>
            </w:pPr>
          </w:p>
        </w:tc>
        <w:tc>
          <w:tcPr>
            <w:tcW w:w="4359" w:type="dxa"/>
          </w:tcPr>
          <w:p w14:paraId="37A68A95" w14:textId="36743B1F" w:rsidR="003577EE" w:rsidRPr="00CF490B" w:rsidRDefault="00056B96">
            <w:pPr>
              <w:rPr>
                <w:sz w:val="20"/>
                <w:szCs w:val="20"/>
                <w:lang w:val="en-GB"/>
              </w:rPr>
            </w:pPr>
            <w:r w:rsidRPr="00CF490B">
              <w:rPr>
                <w:sz w:val="20"/>
                <w:szCs w:val="20"/>
                <w:lang w:val="en-GB"/>
              </w:rPr>
              <w:t xml:space="preserve">Specialists of the supplier or a </w:t>
            </w:r>
            <w:proofErr w:type="gramStart"/>
            <w:r w:rsidRPr="00CF490B">
              <w:rPr>
                <w:sz w:val="20"/>
                <w:szCs w:val="20"/>
                <w:lang w:val="en-GB"/>
              </w:rPr>
              <w:t>member/members of the group</w:t>
            </w:r>
            <w:proofErr w:type="gramEnd"/>
            <w:r w:rsidRPr="00CF490B">
              <w:rPr>
                <w:sz w:val="20"/>
                <w:szCs w:val="20"/>
                <w:lang w:val="en-GB"/>
              </w:rPr>
              <w:t xml:space="preserve"> of suppliers (if the tender is submitted by a group), or another economic operator (his employee) whose capacities the supplier is relying on, depending on the obligations assumed by them in the performance of the Contract. The supplier may rely on capacities of other economic operators only if the latter (the latter‘s employees) themselves will implement the part of the Contract for which their capacities are required. If the supplier (his specialists) himself meets the requirement but intends to hire subsuppliers (their specialists), then the subsuppliers‘ specialists must meet the set requirements if they themselves will implement the part of the Contract for which their qualifications are required.</w:t>
            </w:r>
          </w:p>
        </w:tc>
      </w:tr>
    </w:tbl>
    <w:p w14:paraId="74F25638" w14:textId="57F00119" w:rsidR="001428B7" w:rsidRPr="00CF490B" w:rsidRDefault="001428B7" w:rsidP="001428B7">
      <w:pPr>
        <w:pStyle w:val="BodyA"/>
        <w:jc w:val="right"/>
        <w:rPr>
          <w:rFonts w:ascii="Times New Roman" w:eastAsia="Times New Roman" w:hAnsi="Times New Roman" w:cs="Times New Roman"/>
          <w:lang w:val="en-GB"/>
        </w:rPr>
      </w:pPr>
    </w:p>
    <w:p w14:paraId="60CD1DBA" w14:textId="57E5BEBE" w:rsidR="00F90182" w:rsidRPr="00CF490B" w:rsidRDefault="00F90182" w:rsidP="00F90182">
      <w:pPr>
        <w:pStyle w:val="Porat"/>
        <w:rPr>
          <w:sz w:val="20"/>
          <w:szCs w:val="20"/>
          <w:lang w:val="en-GB"/>
        </w:rPr>
      </w:pPr>
      <w:r w:rsidRPr="00CF490B">
        <w:rPr>
          <w:sz w:val="20"/>
          <w:szCs w:val="20"/>
          <w:vertAlign w:val="superscript"/>
          <w:lang w:val="en-GB"/>
        </w:rPr>
        <w:t>1</w:t>
      </w:r>
      <w:r w:rsidRPr="00CF490B">
        <w:rPr>
          <w:sz w:val="20"/>
          <w:szCs w:val="20"/>
          <w:lang w:val="en-GB"/>
        </w:rPr>
        <w:t xml:space="preserve"> - </w:t>
      </w:r>
      <w:r w:rsidR="00C26BB4" w:rsidRPr="00CF490B">
        <w:rPr>
          <w:sz w:val="20"/>
          <w:szCs w:val="20"/>
          <w:lang w:val="en-GB"/>
        </w:rPr>
        <w:t>Acceleration programme means the entirety of services provided to the start-ups including services of consulting, training, business development assistance and advise, partner search, innovation support and consulting, and organising and implementing demo days</w:t>
      </w:r>
      <w:r w:rsidRPr="00CF490B">
        <w:rPr>
          <w:sz w:val="20"/>
          <w:szCs w:val="20"/>
          <w:lang w:val="en-GB"/>
        </w:rPr>
        <w:t>.</w:t>
      </w:r>
    </w:p>
    <w:p w14:paraId="37FA446F" w14:textId="49FB2007" w:rsidR="00F90182" w:rsidRPr="00056B96" w:rsidRDefault="00F90182" w:rsidP="00F90182">
      <w:pPr>
        <w:rPr>
          <w:sz w:val="20"/>
          <w:szCs w:val="20"/>
          <w:lang w:eastAsia="lt-LT"/>
        </w:rPr>
      </w:pPr>
      <w:r w:rsidRPr="00056B96">
        <w:rPr>
          <w:sz w:val="20"/>
          <w:szCs w:val="20"/>
          <w:vertAlign w:val="superscript"/>
          <w:lang w:eastAsia="lt-LT"/>
        </w:rPr>
        <w:t>2</w:t>
      </w:r>
      <w:r w:rsidRPr="00056B96">
        <w:rPr>
          <w:sz w:val="20"/>
          <w:szCs w:val="20"/>
          <w:lang w:eastAsia="lt-LT"/>
        </w:rPr>
        <w:t xml:space="preserve"> – </w:t>
      </w:r>
      <w:r w:rsidR="00C26BB4" w:rsidRPr="00056B96">
        <w:rPr>
          <w:sz w:val="20"/>
          <w:szCs w:val="20"/>
          <w:lang w:val="en-GB" w:eastAsia="lt-LT"/>
        </w:rPr>
        <w:t>Cycle means an acceleration programme implemented for a group of start-ups</w:t>
      </w:r>
      <w:r w:rsidRPr="00056B96">
        <w:rPr>
          <w:sz w:val="20"/>
          <w:szCs w:val="20"/>
          <w:lang w:eastAsia="lt-LT"/>
        </w:rPr>
        <w:t>.</w:t>
      </w:r>
    </w:p>
    <w:p w14:paraId="17202454" w14:textId="264A1CBD" w:rsidR="00F90182" w:rsidRPr="00056B96" w:rsidRDefault="00F90182" w:rsidP="00F90182">
      <w:pPr>
        <w:rPr>
          <w:sz w:val="20"/>
          <w:szCs w:val="20"/>
        </w:rPr>
      </w:pPr>
      <w:r w:rsidRPr="00056B96">
        <w:rPr>
          <w:sz w:val="20"/>
          <w:szCs w:val="20"/>
          <w:vertAlign w:val="superscript"/>
          <w:lang w:eastAsia="lt-LT"/>
        </w:rPr>
        <w:t>3</w:t>
      </w:r>
      <w:r w:rsidR="00C26BB4" w:rsidRPr="00056B96">
        <w:rPr>
          <w:sz w:val="20"/>
          <w:szCs w:val="20"/>
          <w:vertAlign w:val="superscript"/>
          <w:lang w:eastAsia="lt-LT"/>
        </w:rPr>
        <w:t xml:space="preserve"> </w:t>
      </w:r>
      <w:r w:rsidR="00C26BB4" w:rsidRPr="00056B96">
        <w:rPr>
          <w:sz w:val="20"/>
          <w:szCs w:val="20"/>
          <w:lang w:eastAsia="lt-LT"/>
        </w:rPr>
        <w:t>–</w:t>
      </w:r>
      <w:r w:rsidRPr="00056B96">
        <w:rPr>
          <w:sz w:val="20"/>
          <w:szCs w:val="20"/>
          <w:lang w:eastAsia="lt-LT"/>
        </w:rPr>
        <w:t xml:space="preserve"> </w:t>
      </w:r>
      <w:r w:rsidR="00C26BB4" w:rsidRPr="00056B96">
        <w:rPr>
          <w:sz w:val="20"/>
          <w:szCs w:val="20"/>
          <w:lang w:val="en-GB" w:eastAsia="lt-LT"/>
        </w:rPr>
        <w:t>Experience in organising demo days includes technical organisation of such events (event place, host, coffee breaks etc.), formation of an evaluation commission, inviting investors from different countries and ensuring their participation in order to present the start-ups that have completed the acceleration programme and to enable the start-ups attract investments</w:t>
      </w:r>
      <w:r w:rsidRPr="00056B96">
        <w:rPr>
          <w:sz w:val="20"/>
          <w:szCs w:val="20"/>
          <w:lang w:eastAsia="lt-LT"/>
        </w:rPr>
        <w:t>.</w:t>
      </w:r>
    </w:p>
    <w:p w14:paraId="2D66EE34" w14:textId="77777777" w:rsidR="00F90182" w:rsidRPr="00056B96" w:rsidRDefault="00F90182" w:rsidP="00F90182">
      <w:pPr>
        <w:pStyle w:val="BodyA"/>
        <w:rPr>
          <w:rFonts w:ascii="Times New Roman" w:eastAsia="Times New Roman" w:hAnsi="Times New Roman" w:cs="Times New Roman"/>
          <w:lang w:val="lt-LT"/>
        </w:rPr>
      </w:pPr>
    </w:p>
    <w:sectPr w:rsidR="00F90182" w:rsidRPr="00056B96" w:rsidSect="00092C15">
      <w:headerReference w:type="default" r:id="rId10"/>
      <w:footerReference w:type="default" r:id="rId11"/>
      <w:pgSz w:w="16840" w:h="11900" w:orient="landscape"/>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F3AE9" w14:textId="77777777" w:rsidR="00827CD8" w:rsidRDefault="00827CD8" w:rsidP="00992543">
      <w:r>
        <w:separator/>
      </w:r>
    </w:p>
  </w:endnote>
  <w:endnote w:type="continuationSeparator" w:id="0">
    <w:p w14:paraId="0DEC49F8" w14:textId="77777777" w:rsidR="00827CD8" w:rsidRDefault="00827CD8"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Arial Unicode MS">
    <w:altName w:val="Yu Gothic"/>
    <w:panose1 w:val="020B0604020202020204"/>
    <w:charset w:val="00"/>
    <w:family w:val="roman"/>
    <w:notTrueType/>
    <w:pitch w:val="variable"/>
    <w:sig w:usb0="00000003" w:usb1="00000000" w:usb2="00000000" w:usb3="00000000" w:csb0="00000001" w:csb1="00000000"/>
  </w:font>
  <w:font w:name="Helvetica Neue Medium">
    <w:altName w:val="Arial"/>
    <w:charset w:val="00"/>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E2E19" w14:textId="2FB5486D" w:rsidR="00805393" w:rsidRDefault="001B614D"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2021-0</w:t>
    </w:r>
    <w:r w:rsidR="006E0399">
      <w:rPr>
        <w:rFonts w:ascii="Times New Roman" w:hAnsi="Times New Roman"/>
        <w:sz w:val="18"/>
        <w:szCs w:val="18"/>
      </w:rPr>
      <w:t>5</w:t>
    </w:r>
    <w:r>
      <w:rPr>
        <w:rFonts w:ascii="Times New Roman" w:hAnsi="Times New Roman"/>
        <w:sz w:val="18"/>
        <w:szCs w:val="18"/>
      </w:rPr>
      <w:t>-</w:t>
    </w:r>
    <w:r w:rsidR="006E0399">
      <w:rPr>
        <w:rFonts w:ascii="Times New Roman" w:hAnsi="Times New Roman"/>
        <w:sz w:val="18"/>
        <w:szCs w:val="18"/>
      </w:rPr>
      <w:t>12</w:t>
    </w:r>
    <w:r w:rsidR="00A82A9E">
      <w:rPr>
        <w:rFonts w:ascii="Times New Roman" w:hAnsi="Times New Roman"/>
        <w:sz w:val="18"/>
        <w:szCs w:val="18"/>
      </w:rPr>
      <w:tab/>
    </w:r>
    <w:r w:rsidR="00A82A9E">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A82A9E">
      <w:rPr>
        <w:rFonts w:ascii="Times New Roman" w:hAnsi="Times New Roman"/>
        <w:sz w:val="18"/>
        <w:szCs w:val="18"/>
      </w:rPr>
      <w:t>P</w:t>
    </w:r>
    <w:r w:rsidR="001F1099">
      <w:rPr>
        <w:rFonts w:ascii="Times New Roman" w:hAnsi="Times New Roman"/>
        <w:sz w:val="18"/>
        <w:szCs w:val="18"/>
      </w:rPr>
      <w:t>age</w:t>
    </w:r>
    <w:r w:rsidR="00A82A9E">
      <w:rPr>
        <w:rFonts w:ascii="Times New Roman" w:hAnsi="Times New Roman"/>
        <w:sz w:val="18"/>
        <w:szCs w:val="18"/>
      </w:rPr>
      <w:t xml:space="preserve">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PAGE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r w:rsidR="00A82A9E">
      <w:rPr>
        <w:rFonts w:ascii="Times New Roman" w:hAnsi="Times New Roman"/>
        <w:sz w:val="18"/>
        <w:szCs w:val="18"/>
      </w:rPr>
      <w:t xml:space="preserve"> </w:t>
    </w:r>
    <w:r w:rsidR="001F1099">
      <w:rPr>
        <w:rFonts w:ascii="Times New Roman" w:hAnsi="Times New Roman"/>
        <w:sz w:val="18"/>
        <w:szCs w:val="18"/>
      </w:rPr>
      <w:t>of</w:t>
    </w:r>
    <w:r w:rsidR="00A82A9E">
      <w:rPr>
        <w:rFonts w:ascii="Times New Roman" w:hAnsi="Times New Roman"/>
        <w:sz w:val="18"/>
        <w:szCs w:val="18"/>
      </w:rPr>
      <w:t xml:space="preserve">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NUMPAGES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A0343" w14:textId="77777777" w:rsidR="00827CD8" w:rsidRDefault="00827CD8" w:rsidP="00992543">
      <w:r>
        <w:separator/>
      </w:r>
    </w:p>
  </w:footnote>
  <w:footnote w:type="continuationSeparator" w:id="0">
    <w:p w14:paraId="6366F4E6" w14:textId="77777777" w:rsidR="00827CD8" w:rsidRDefault="00827CD8"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773F7" w14:textId="77777777" w:rsidR="00092C15" w:rsidRDefault="00092C15">
    <w:pPr>
      <w:pStyle w:val="Body"/>
    </w:pPr>
  </w:p>
  <w:p w14:paraId="1978A16D" w14:textId="77777777" w:rsidR="00805393" w:rsidRDefault="00A82A9E">
    <w:pPr>
      <w:pStyle w:val="Body"/>
    </w:pPr>
    <w:r>
      <w:rPr>
        <w:noProof/>
      </w:rPr>
      <mc:AlternateContent>
        <mc:Choice Requires="wps">
          <w:drawing>
            <wp:anchor distT="152400" distB="152400" distL="152400" distR="152400" simplePos="0" relativeHeight="251658240" behindDoc="1" locked="0" layoutInCell="1" allowOverlap="1" wp14:anchorId="17624DD8" wp14:editId="315107F3">
              <wp:simplePos x="0" y="0"/>
              <wp:positionH relativeFrom="page">
                <wp:posOffset>691563</wp:posOffset>
              </wp:positionH>
              <wp:positionV relativeFrom="page">
                <wp:posOffset>719631</wp:posOffset>
              </wp:positionV>
              <wp:extent cx="9297681" cy="0"/>
              <wp:effectExtent l="0" t="12700" r="24130" b="12700"/>
              <wp:wrapNone/>
              <wp:docPr id="1073741825" name="officeArt object" descr="officeArt object"/>
              <wp:cNvGraphicFramePr/>
              <a:graphic xmlns:a="http://schemas.openxmlformats.org/drawingml/2006/main">
                <a:graphicData uri="http://schemas.microsoft.com/office/word/2010/wordprocessingShape">
                  <wps:wsp>
                    <wps:cNvCnPr/>
                    <wps:spPr>
                      <a:xfrm>
                        <a:off x="0" y="0"/>
                        <a:ext cx="9297681" cy="0"/>
                      </a:xfrm>
                      <a:prstGeom prst="line">
                        <a:avLst/>
                      </a:prstGeom>
                      <a:noFill/>
                      <a:ln w="25400" cap="flat">
                        <a:solidFill>
                          <a:srgbClr val="535F65"/>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w:pict>
            <v:line w14:anchorId="5068C5AD" id="officeArt object" o:spid="_x0000_s1026" alt="officeArt object" style="position:absolute;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 from="54.45pt,56.65pt" to="786.5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02A9E"/>
    <w:multiLevelType w:val="hybridMultilevel"/>
    <w:tmpl w:val="44142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E26795"/>
    <w:multiLevelType w:val="hybridMultilevel"/>
    <w:tmpl w:val="722206C8"/>
    <w:lvl w:ilvl="0" w:tplc="E16A1F5C">
      <w:start w:val="4"/>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7F635032"/>
    <w:multiLevelType w:val="hybridMultilevel"/>
    <w:tmpl w:val="FBEE99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39672165">
    <w:abstractNumId w:val="2"/>
  </w:num>
  <w:num w:numId="2" w16cid:durableId="1585528576">
    <w:abstractNumId w:val="1"/>
  </w:num>
  <w:num w:numId="3" w16cid:durableId="954559161">
    <w:abstractNumId w:val="0"/>
  </w:num>
  <w:num w:numId="4" w16cid:durableId="10758629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4C41"/>
    <w:rsid w:val="00027CE2"/>
    <w:rsid w:val="00044330"/>
    <w:rsid w:val="00051663"/>
    <w:rsid w:val="00056B96"/>
    <w:rsid w:val="0006194A"/>
    <w:rsid w:val="000672D5"/>
    <w:rsid w:val="00073BF2"/>
    <w:rsid w:val="00074879"/>
    <w:rsid w:val="0008474E"/>
    <w:rsid w:val="00084934"/>
    <w:rsid w:val="00092C15"/>
    <w:rsid w:val="0009563B"/>
    <w:rsid w:val="00096318"/>
    <w:rsid w:val="000B46B5"/>
    <w:rsid w:val="000B7F26"/>
    <w:rsid w:val="000C2824"/>
    <w:rsid w:val="000C2B4D"/>
    <w:rsid w:val="000D2AC3"/>
    <w:rsid w:val="000E03DE"/>
    <w:rsid w:val="000F634B"/>
    <w:rsid w:val="0010193F"/>
    <w:rsid w:val="00125AB0"/>
    <w:rsid w:val="001310D3"/>
    <w:rsid w:val="001337C6"/>
    <w:rsid w:val="001428B7"/>
    <w:rsid w:val="00143C06"/>
    <w:rsid w:val="001443A3"/>
    <w:rsid w:val="00145C0A"/>
    <w:rsid w:val="00151570"/>
    <w:rsid w:val="00164810"/>
    <w:rsid w:val="001701C1"/>
    <w:rsid w:val="00193440"/>
    <w:rsid w:val="001A071A"/>
    <w:rsid w:val="001B614D"/>
    <w:rsid w:val="001B78A0"/>
    <w:rsid w:val="001D0379"/>
    <w:rsid w:val="001D29A6"/>
    <w:rsid w:val="001D5DB8"/>
    <w:rsid w:val="001E7EA9"/>
    <w:rsid w:val="001F1099"/>
    <w:rsid w:val="001F5371"/>
    <w:rsid w:val="002033EB"/>
    <w:rsid w:val="00207E8C"/>
    <w:rsid w:val="002174E0"/>
    <w:rsid w:val="00232799"/>
    <w:rsid w:val="00242345"/>
    <w:rsid w:val="002470CC"/>
    <w:rsid w:val="002538F1"/>
    <w:rsid w:val="002560CC"/>
    <w:rsid w:val="002628FD"/>
    <w:rsid w:val="00263945"/>
    <w:rsid w:val="00267E64"/>
    <w:rsid w:val="0027024E"/>
    <w:rsid w:val="00273732"/>
    <w:rsid w:val="002775EE"/>
    <w:rsid w:val="00280A92"/>
    <w:rsid w:val="00286728"/>
    <w:rsid w:val="00291712"/>
    <w:rsid w:val="00295E68"/>
    <w:rsid w:val="00297477"/>
    <w:rsid w:val="002A1230"/>
    <w:rsid w:val="002A1D36"/>
    <w:rsid w:val="002B583C"/>
    <w:rsid w:val="002D7D46"/>
    <w:rsid w:val="002E07FA"/>
    <w:rsid w:val="002E7661"/>
    <w:rsid w:val="002F53AD"/>
    <w:rsid w:val="002F689F"/>
    <w:rsid w:val="002F7369"/>
    <w:rsid w:val="00302AB3"/>
    <w:rsid w:val="0031630A"/>
    <w:rsid w:val="003171EC"/>
    <w:rsid w:val="003213D7"/>
    <w:rsid w:val="00323B20"/>
    <w:rsid w:val="00325BD8"/>
    <w:rsid w:val="003304F9"/>
    <w:rsid w:val="00330F1B"/>
    <w:rsid w:val="00347D32"/>
    <w:rsid w:val="003563AD"/>
    <w:rsid w:val="00356BCC"/>
    <w:rsid w:val="003577EE"/>
    <w:rsid w:val="003813FD"/>
    <w:rsid w:val="00381F67"/>
    <w:rsid w:val="003848AE"/>
    <w:rsid w:val="00390E93"/>
    <w:rsid w:val="003936CA"/>
    <w:rsid w:val="00395284"/>
    <w:rsid w:val="003B3917"/>
    <w:rsid w:val="003D0BFF"/>
    <w:rsid w:val="003D2219"/>
    <w:rsid w:val="003D3298"/>
    <w:rsid w:val="003E37E2"/>
    <w:rsid w:val="003E45ED"/>
    <w:rsid w:val="003F10D3"/>
    <w:rsid w:val="003F77EB"/>
    <w:rsid w:val="00407BD5"/>
    <w:rsid w:val="00426865"/>
    <w:rsid w:val="00434A62"/>
    <w:rsid w:val="00435CFB"/>
    <w:rsid w:val="00436708"/>
    <w:rsid w:val="00447B75"/>
    <w:rsid w:val="00464F52"/>
    <w:rsid w:val="00471163"/>
    <w:rsid w:val="004757D6"/>
    <w:rsid w:val="0048021C"/>
    <w:rsid w:val="00484614"/>
    <w:rsid w:val="0048718B"/>
    <w:rsid w:val="00493BD3"/>
    <w:rsid w:val="00494714"/>
    <w:rsid w:val="00497035"/>
    <w:rsid w:val="004A69BE"/>
    <w:rsid w:val="004B4664"/>
    <w:rsid w:val="004B7CA7"/>
    <w:rsid w:val="004C01FE"/>
    <w:rsid w:val="004C668F"/>
    <w:rsid w:val="004D202A"/>
    <w:rsid w:val="004F0975"/>
    <w:rsid w:val="004F1065"/>
    <w:rsid w:val="004F73F6"/>
    <w:rsid w:val="005022BD"/>
    <w:rsid w:val="00502793"/>
    <w:rsid w:val="00503D75"/>
    <w:rsid w:val="00504DC3"/>
    <w:rsid w:val="005063CB"/>
    <w:rsid w:val="00507E28"/>
    <w:rsid w:val="005361DA"/>
    <w:rsid w:val="00556169"/>
    <w:rsid w:val="00567307"/>
    <w:rsid w:val="00570013"/>
    <w:rsid w:val="0057083E"/>
    <w:rsid w:val="005749FE"/>
    <w:rsid w:val="00582D47"/>
    <w:rsid w:val="0058424F"/>
    <w:rsid w:val="00586272"/>
    <w:rsid w:val="005874D2"/>
    <w:rsid w:val="005919DE"/>
    <w:rsid w:val="005A6CEA"/>
    <w:rsid w:val="005B2995"/>
    <w:rsid w:val="005B5B94"/>
    <w:rsid w:val="005C4C18"/>
    <w:rsid w:val="005C6BB5"/>
    <w:rsid w:val="005D1536"/>
    <w:rsid w:val="005D2C1D"/>
    <w:rsid w:val="005D725F"/>
    <w:rsid w:val="005E2575"/>
    <w:rsid w:val="005E4C58"/>
    <w:rsid w:val="005F0B4B"/>
    <w:rsid w:val="005F4213"/>
    <w:rsid w:val="005F75BD"/>
    <w:rsid w:val="00600427"/>
    <w:rsid w:val="00602D74"/>
    <w:rsid w:val="00612817"/>
    <w:rsid w:val="0062016C"/>
    <w:rsid w:val="0062765C"/>
    <w:rsid w:val="006519D0"/>
    <w:rsid w:val="00656DAE"/>
    <w:rsid w:val="006639AD"/>
    <w:rsid w:val="00670C15"/>
    <w:rsid w:val="00672935"/>
    <w:rsid w:val="006775AC"/>
    <w:rsid w:val="0068157A"/>
    <w:rsid w:val="00682AF4"/>
    <w:rsid w:val="00684216"/>
    <w:rsid w:val="006A5295"/>
    <w:rsid w:val="006B621E"/>
    <w:rsid w:val="006C1BF4"/>
    <w:rsid w:val="006C77CA"/>
    <w:rsid w:val="006D0F05"/>
    <w:rsid w:val="006D2A54"/>
    <w:rsid w:val="006E0399"/>
    <w:rsid w:val="00700B8D"/>
    <w:rsid w:val="00710BB0"/>
    <w:rsid w:val="0072611D"/>
    <w:rsid w:val="00726270"/>
    <w:rsid w:val="00731F1F"/>
    <w:rsid w:val="00774E03"/>
    <w:rsid w:val="00776EF1"/>
    <w:rsid w:val="0078302C"/>
    <w:rsid w:val="0079199D"/>
    <w:rsid w:val="00796FC0"/>
    <w:rsid w:val="007B7480"/>
    <w:rsid w:val="007C5B68"/>
    <w:rsid w:val="007C76BD"/>
    <w:rsid w:val="007D0334"/>
    <w:rsid w:val="007D47DB"/>
    <w:rsid w:val="007D7756"/>
    <w:rsid w:val="007E7679"/>
    <w:rsid w:val="007F536A"/>
    <w:rsid w:val="007F5ACB"/>
    <w:rsid w:val="00805393"/>
    <w:rsid w:val="00811D4C"/>
    <w:rsid w:val="00814FFD"/>
    <w:rsid w:val="0082112A"/>
    <w:rsid w:val="00821B63"/>
    <w:rsid w:val="008258B4"/>
    <w:rsid w:val="00827CD8"/>
    <w:rsid w:val="0083707B"/>
    <w:rsid w:val="008457F2"/>
    <w:rsid w:val="00853FA0"/>
    <w:rsid w:val="00854E07"/>
    <w:rsid w:val="00857222"/>
    <w:rsid w:val="00860DD0"/>
    <w:rsid w:val="00884560"/>
    <w:rsid w:val="00885BFE"/>
    <w:rsid w:val="008914B7"/>
    <w:rsid w:val="008964BC"/>
    <w:rsid w:val="008B2FB1"/>
    <w:rsid w:val="008C0AA1"/>
    <w:rsid w:val="008C5299"/>
    <w:rsid w:val="008C64F3"/>
    <w:rsid w:val="008F5D16"/>
    <w:rsid w:val="008F6BCD"/>
    <w:rsid w:val="009134C0"/>
    <w:rsid w:val="0091373A"/>
    <w:rsid w:val="00927667"/>
    <w:rsid w:val="009321BC"/>
    <w:rsid w:val="0093362C"/>
    <w:rsid w:val="0093686F"/>
    <w:rsid w:val="00940951"/>
    <w:rsid w:val="00942FBB"/>
    <w:rsid w:val="00946274"/>
    <w:rsid w:val="00952AC1"/>
    <w:rsid w:val="00964262"/>
    <w:rsid w:val="009756F8"/>
    <w:rsid w:val="00975BA7"/>
    <w:rsid w:val="0098584D"/>
    <w:rsid w:val="00987B75"/>
    <w:rsid w:val="0099191E"/>
    <w:rsid w:val="00992543"/>
    <w:rsid w:val="00996811"/>
    <w:rsid w:val="009A2F9A"/>
    <w:rsid w:val="009B5142"/>
    <w:rsid w:val="009B5A18"/>
    <w:rsid w:val="009C08A6"/>
    <w:rsid w:val="009C344C"/>
    <w:rsid w:val="009D3D0C"/>
    <w:rsid w:val="009D7D96"/>
    <w:rsid w:val="009E1237"/>
    <w:rsid w:val="009E1C94"/>
    <w:rsid w:val="009E2B98"/>
    <w:rsid w:val="009F1325"/>
    <w:rsid w:val="009F4E9E"/>
    <w:rsid w:val="00A02C76"/>
    <w:rsid w:val="00A0322D"/>
    <w:rsid w:val="00A24D9F"/>
    <w:rsid w:val="00A31A93"/>
    <w:rsid w:val="00A324BA"/>
    <w:rsid w:val="00A3798A"/>
    <w:rsid w:val="00A4489C"/>
    <w:rsid w:val="00A47888"/>
    <w:rsid w:val="00A54933"/>
    <w:rsid w:val="00A565B8"/>
    <w:rsid w:val="00A57AD6"/>
    <w:rsid w:val="00A65BCB"/>
    <w:rsid w:val="00A741EF"/>
    <w:rsid w:val="00A7676D"/>
    <w:rsid w:val="00A82A9E"/>
    <w:rsid w:val="00A85726"/>
    <w:rsid w:val="00A87897"/>
    <w:rsid w:val="00A9322A"/>
    <w:rsid w:val="00A9443F"/>
    <w:rsid w:val="00A94F0B"/>
    <w:rsid w:val="00AA370E"/>
    <w:rsid w:val="00AA5B3A"/>
    <w:rsid w:val="00AB11E9"/>
    <w:rsid w:val="00AB3D6D"/>
    <w:rsid w:val="00AC179B"/>
    <w:rsid w:val="00AC2862"/>
    <w:rsid w:val="00AC3E29"/>
    <w:rsid w:val="00AC5DDC"/>
    <w:rsid w:val="00AD683C"/>
    <w:rsid w:val="00AF73A7"/>
    <w:rsid w:val="00B125BD"/>
    <w:rsid w:val="00B161FF"/>
    <w:rsid w:val="00B22D42"/>
    <w:rsid w:val="00B2726B"/>
    <w:rsid w:val="00B47A77"/>
    <w:rsid w:val="00B54D3C"/>
    <w:rsid w:val="00B61DCD"/>
    <w:rsid w:val="00B96853"/>
    <w:rsid w:val="00BB44DB"/>
    <w:rsid w:val="00BB7F99"/>
    <w:rsid w:val="00BB7FCF"/>
    <w:rsid w:val="00BC09D2"/>
    <w:rsid w:val="00BC1767"/>
    <w:rsid w:val="00BC3953"/>
    <w:rsid w:val="00BC5321"/>
    <w:rsid w:val="00BD01B5"/>
    <w:rsid w:val="00BD1D43"/>
    <w:rsid w:val="00BE5733"/>
    <w:rsid w:val="00BF27E4"/>
    <w:rsid w:val="00BF37A6"/>
    <w:rsid w:val="00C03B90"/>
    <w:rsid w:val="00C069B6"/>
    <w:rsid w:val="00C075D3"/>
    <w:rsid w:val="00C12750"/>
    <w:rsid w:val="00C13B6A"/>
    <w:rsid w:val="00C26BB4"/>
    <w:rsid w:val="00C42A3D"/>
    <w:rsid w:val="00C475FC"/>
    <w:rsid w:val="00C51BF6"/>
    <w:rsid w:val="00C53DC3"/>
    <w:rsid w:val="00C6587B"/>
    <w:rsid w:val="00C76473"/>
    <w:rsid w:val="00C944D2"/>
    <w:rsid w:val="00C979E3"/>
    <w:rsid w:val="00CA0B53"/>
    <w:rsid w:val="00CA641E"/>
    <w:rsid w:val="00CC187F"/>
    <w:rsid w:val="00CD1ACE"/>
    <w:rsid w:val="00CD2DB1"/>
    <w:rsid w:val="00CE0510"/>
    <w:rsid w:val="00CF490B"/>
    <w:rsid w:val="00D026F1"/>
    <w:rsid w:val="00D03A4D"/>
    <w:rsid w:val="00D1550E"/>
    <w:rsid w:val="00D2043A"/>
    <w:rsid w:val="00D27949"/>
    <w:rsid w:val="00D37A9B"/>
    <w:rsid w:val="00D47F90"/>
    <w:rsid w:val="00D532B1"/>
    <w:rsid w:val="00D75588"/>
    <w:rsid w:val="00D75DAD"/>
    <w:rsid w:val="00D9086E"/>
    <w:rsid w:val="00DA61C2"/>
    <w:rsid w:val="00DD3774"/>
    <w:rsid w:val="00DD5562"/>
    <w:rsid w:val="00DD7022"/>
    <w:rsid w:val="00DE2461"/>
    <w:rsid w:val="00DE68AD"/>
    <w:rsid w:val="00DF04E0"/>
    <w:rsid w:val="00DF0E54"/>
    <w:rsid w:val="00DF7177"/>
    <w:rsid w:val="00E00372"/>
    <w:rsid w:val="00E16701"/>
    <w:rsid w:val="00E17847"/>
    <w:rsid w:val="00E2701C"/>
    <w:rsid w:val="00E37C9C"/>
    <w:rsid w:val="00E5319D"/>
    <w:rsid w:val="00E554E2"/>
    <w:rsid w:val="00E61EAF"/>
    <w:rsid w:val="00E6250F"/>
    <w:rsid w:val="00EA1D89"/>
    <w:rsid w:val="00EA5149"/>
    <w:rsid w:val="00EA7115"/>
    <w:rsid w:val="00EC379C"/>
    <w:rsid w:val="00ED2423"/>
    <w:rsid w:val="00ED5483"/>
    <w:rsid w:val="00EE0C7D"/>
    <w:rsid w:val="00EE2047"/>
    <w:rsid w:val="00EE2688"/>
    <w:rsid w:val="00EF011E"/>
    <w:rsid w:val="00EF3491"/>
    <w:rsid w:val="00EF3AE3"/>
    <w:rsid w:val="00EF43B4"/>
    <w:rsid w:val="00EF48FB"/>
    <w:rsid w:val="00EF5D6D"/>
    <w:rsid w:val="00F15C97"/>
    <w:rsid w:val="00F1708B"/>
    <w:rsid w:val="00F32252"/>
    <w:rsid w:val="00F32BD0"/>
    <w:rsid w:val="00F35B28"/>
    <w:rsid w:val="00F40AD5"/>
    <w:rsid w:val="00F42A81"/>
    <w:rsid w:val="00F75579"/>
    <w:rsid w:val="00F871BD"/>
    <w:rsid w:val="00F90182"/>
    <w:rsid w:val="00F9184A"/>
    <w:rsid w:val="00F92F60"/>
    <w:rsid w:val="00FA08BD"/>
    <w:rsid w:val="00FA22DC"/>
    <w:rsid w:val="00FA5AA9"/>
    <w:rsid w:val="00FA76CB"/>
    <w:rsid w:val="00FB18B7"/>
    <w:rsid w:val="00FB4744"/>
    <w:rsid w:val="00FB7A4C"/>
    <w:rsid w:val="00FB7E18"/>
    <w:rsid w:val="00FD0FE9"/>
    <w:rsid w:val="00FD1B33"/>
    <w:rsid w:val="00FE21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84342"/>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543"/>
    <w:pPr>
      <w:jc w:val="both"/>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semiHidden/>
    <w:unhideWhenUsed/>
    <w:rsid w:val="00207E8C"/>
    <w:rPr>
      <w:sz w:val="20"/>
      <w:szCs w:val="20"/>
    </w:rPr>
  </w:style>
  <w:style w:type="character" w:customStyle="1" w:styleId="KomentarotekstasDiagrama">
    <w:name w:val="Komentaro tekstas Diagrama"/>
    <w:basedOn w:val="Numatytasispastraiposriftas"/>
    <w:link w:val="Komentarotekstas"/>
    <w:uiPriority w:val="99"/>
    <w:semiHidden/>
    <w:rsid w:val="00207E8C"/>
    <w:rPr>
      <w:lang w:val="lt-LT" w:eastAsia="en-US"/>
    </w:rPr>
  </w:style>
  <w:style w:type="paragraph" w:styleId="Komentarotema">
    <w:name w:val="annotation subject"/>
    <w:basedOn w:val="Komentarotekstas"/>
    <w:next w:val="Komentarotekstas"/>
    <w:link w:val="KomentarotemaDiagrama"/>
    <w:uiPriority w:val="99"/>
    <w:semiHidden/>
    <w:unhideWhenUsed/>
    <w:rsid w:val="00143C06"/>
    <w:rPr>
      <w:b/>
      <w:bCs/>
    </w:rPr>
  </w:style>
  <w:style w:type="character" w:customStyle="1" w:styleId="KomentarotemaDiagrama">
    <w:name w:val="Komentaro tema Diagrama"/>
    <w:basedOn w:val="KomentarotekstasDiagrama"/>
    <w:link w:val="Komentarotema"/>
    <w:uiPriority w:val="99"/>
    <w:semiHidden/>
    <w:rsid w:val="00143C06"/>
    <w:rPr>
      <w:b/>
      <w:bCs/>
      <w:lang w:val="lt-LT" w:eastAsia="en-US"/>
    </w:rPr>
  </w:style>
  <w:style w:type="paragraph" w:styleId="Antrats">
    <w:name w:val="header"/>
    <w:basedOn w:val="prastasis"/>
    <w:link w:val="AntratsDiagrama"/>
    <w:uiPriority w:val="99"/>
    <w:unhideWhenUsed/>
    <w:rsid w:val="001B614D"/>
    <w:pPr>
      <w:tabs>
        <w:tab w:val="center" w:pos="4513"/>
        <w:tab w:val="right" w:pos="9026"/>
      </w:tabs>
    </w:pPr>
  </w:style>
  <w:style w:type="character" w:customStyle="1" w:styleId="AntratsDiagrama">
    <w:name w:val="Antraštės Diagrama"/>
    <w:basedOn w:val="Numatytasispastraiposriftas"/>
    <w:link w:val="Antrats"/>
    <w:uiPriority w:val="99"/>
    <w:rsid w:val="001B614D"/>
    <w:rPr>
      <w:sz w:val="22"/>
      <w:szCs w:val="22"/>
      <w:lang w:eastAsia="en-US"/>
    </w:rPr>
  </w:style>
  <w:style w:type="paragraph" w:styleId="Porat">
    <w:name w:val="footer"/>
    <w:basedOn w:val="prastasis"/>
    <w:link w:val="PoratDiagrama"/>
    <w:uiPriority w:val="99"/>
    <w:unhideWhenUsed/>
    <w:rsid w:val="001B614D"/>
    <w:pPr>
      <w:tabs>
        <w:tab w:val="center" w:pos="4513"/>
        <w:tab w:val="right" w:pos="9026"/>
      </w:tabs>
    </w:pPr>
  </w:style>
  <w:style w:type="character" w:customStyle="1" w:styleId="PoratDiagrama">
    <w:name w:val="Poraštė Diagrama"/>
    <w:basedOn w:val="Numatytasispastraiposriftas"/>
    <w:link w:val="Porat"/>
    <w:uiPriority w:val="99"/>
    <w:rsid w:val="001B614D"/>
    <w:rPr>
      <w:sz w:val="22"/>
      <w:szCs w:val="22"/>
      <w:lang w:eastAsia="en-US"/>
    </w:rPr>
  </w:style>
  <w:style w:type="paragraph" w:styleId="Pataisymai">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99"/>
    <w:qFormat/>
    <w:locked/>
    <w:rsid w:val="00946274"/>
    <w:rPr>
      <w:rFonts w:ascii="Calibri" w:eastAsia="Calibri" w:hAnsi="Calibri"/>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l"/>
    <w:basedOn w:val="prastasis"/>
    <w:link w:val="SraopastraipaDiagrama"/>
    <w:uiPriority w:val="99"/>
    <w:qFormat/>
    <w:rsid w:val="00946274"/>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jc w:val="left"/>
    </w:pPr>
    <w:rPr>
      <w:rFonts w:ascii="Calibri" w:eastAsia="Calibri" w:hAnsi="Calibri"/>
      <w:sz w:val="20"/>
      <w:szCs w:val="20"/>
      <w:lang w:eastAsia="en-GB"/>
    </w:rPr>
  </w:style>
  <w:style w:type="character" w:customStyle="1" w:styleId="ui-provider">
    <w:name w:val="ui-provider"/>
    <w:basedOn w:val="Numatytasispastraiposriftas"/>
    <w:rsid w:val="00D75588"/>
  </w:style>
  <w:style w:type="paragraph" w:styleId="HTMLiankstoformatuotas">
    <w:name w:val="HTML Preformatted"/>
    <w:basedOn w:val="prastasis"/>
    <w:link w:val="HTMLiankstoformatuotasDiagrama"/>
    <w:uiPriority w:val="99"/>
    <w:semiHidden/>
    <w:unhideWhenUsed/>
    <w:rsid w:val="006639AD"/>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bdr w:val="none" w:sz="0" w:space="0" w:color="auto"/>
      <w:lang w:eastAsia="lt-LT"/>
    </w:rPr>
  </w:style>
  <w:style w:type="character" w:customStyle="1" w:styleId="HTMLiankstoformatuotasDiagrama">
    <w:name w:val="HTML iš anksto formatuotas Diagrama"/>
    <w:basedOn w:val="Numatytasispastraiposriftas"/>
    <w:link w:val="HTMLiankstoformatuotas"/>
    <w:uiPriority w:val="99"/>
    <w:semiHidden/>
    <w:rsid w:val="006639AD"/>
    <w:rPr>
      <w:rFonts w:ascii="Courier New" w:eastAsia="Times New Roman" w:hAnsi="Courier New" w:cs="Courier New"/>
      <w:bdr w:val="none" w:sz="0" w:space="0" w:color="auto"/>
      <w:lang w:eastAsia="lt-LT"/>
    </w:rPr>
  </w:style>
  <w:style w:type="character" w:customStyle="1" w:styleId="y2iqfc">
    <w:name w:val="y2iqfc"/>
    <w:basedOn w:val="Numatytasispastraiposriftas"/>
    <w:rsid w:val="006639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33151555">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2184773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895820877">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23746285">
      <w:bodyDiv w:val="1"/>
      <w:marLeft w:val="0"/>
      <w:marRight w:val="0"/>
      <w:marTop w:val="0"/>
      <w:marBottom w:val="0"/>
      <w:divBdr>
        <w:top w:val="none" w:sz="0" w:space="0" w:color="auto"/>
        <w:left w:val="none" w:sz="0" w:space="0" w:color="auto"/>
        <w:bottom w:val="none" w:sz="0" w:space="0" w:color="auto"/>
        <w:right w:val="none" w:sz="0" w:space="0" w:color="auto"/>
      </w:divBdr>
    </w:div>
    <w:div w:id="1036542647">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da085d3-0b58-46e6-821d-f92fd9f5903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D8B0167174844FB9CABB5DA4C9AC2B" ma:contentTypeVersion="14" ma:contentTypeDescription="Create a new document." ma:contentTypeScope="" ma:versionID="443d99b997bcd9a52cd6ab38bd29bc05">
  <xsd:schema xmlns:xsd="http://www.w3.org/2001/XMLSchema" xmlns:xs="http://www.w3.org/2001/XMLSchema" xmlns:p="http://schemas.microsoft.com/office/2006/metadata/properties" xmlns:ns3="1da085d3-0b58-46e6-821d-f92fd9f59039" xmlns:ns4="55f6a29f-5340-442f-88b6-4fe7e54b748e" targetNamespace="http://schemas.microsoft.com/office/2006/metadata/properties" ma:root="true" ma:fieldsID="c08b213de311c4771044e371a0345cce" ns3:_="" ns4:_="">
    <xsd:import namespace="1da085d3-0b58-46e6-821d-f92fd9f59039"/>
    <xsd:import namespace="55f6a29f-5340-442f-88b6-4fe7e54b748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085d3-0b58-46e6-821d-f92fd9f590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f6a29f-5340-442f-88b6-4fe7e54b748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4CB1AC-63E7-4F04-A250-F1171B069761}">
  <ds:schemaRefs>
    <ds:schemaRef ds:uri="http://schemas.microsoft.com/office/2006/metadata/properties"/>
    <ds:schemaRef ds:uri="http://schemas.microsoft.com/office/infopath/2007/PartnerControls"/>
    <ds:schemaRef ds:uri="1da085d3-0b58-46e6-821d-f92fd9f59039"/>
  </ds:schemaRefs>
</ds:datastoreItem>
</file>

<file path=customXml/itemProps2.xml><?xml version="1.0" encoding="utf-8"?>
<ds:datastoreItem xmlns:ds="http://schemas.openxmlformats.org/officeDocument/2006/customXml" ds:itemID="{6E0CCC46-97EC-464D-A364-7167EDD920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a085d3-0b58-46e6-821d-f92fd9f59039"/>
    <ds:schemaRef ds:uri="55f6a29f-5340-442f-88b6-4fe7e54b74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F69F23-1354-40B3-890F-10F63A0E67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7487</Words>
  <Characters>4269</Characters>
  <Application>Microsoft Office Word</Application>
  <DocSecurity>4</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Justina Vaitkevičiūtė</dc:creator>
  <cp:lastModifiedBy>Irmantė Plikaitienė</cp:lastModifiedBy>
  <cp:revision>2</cp:revision>
  <cp:lastPrinted>2021-03-17T12:52:00Z</cp:lastPrinted>
  <dcterms:created xsi:type="dcterms:W3CDTF">2023-03-13T09:13:00Z</dcterms:created>
  <dcterms:modified xsi:type="dcterms:W3CDTF">2023-03-13T09:13:00Z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0x01010092D8B0167174844FB9CABB5DA4C9AC2B</vt:lpwstr>
  </property>
</Properties>
</file>